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B7D4C6" w14:textId="77777777" w:rsidR="00B51746" w:rsidRDefault="00B51746" w:rsidP="00B51746">
      <w:pPr>
        <w:spacing w:after="120"/>
        <w:jc w:val="center"/>
        <w:rPr>
          <w:rFonts w:ascii="Times New Roman" w:hAnsi="Times New Roman" w:cs="Times New Roman"/>
          <w:b/>
          <w:bCs/>
          <w:sz w:val="24"/>
          <w:szCs w:val="24"/>
        </w:rPr>
      </w:pPr>
      <w:r>
        <w:rPr>
          <w:rFonts w:ascii="Times New Roman" w:hAnsi="Times New Roman" w:cs="Times New Roman"/>
          <w:b/>
          <w:bCs/>
          <w:sz w:val="24"/>
          <w:szCs w:val="24"/>
        </w:rPr>
        <w:t xml:space="preserve">ANEXO IV </w:t>
      </w:r>
    </w:p>
    <w:p w14:paraId="4C6A99F4" w14:textId="77777777" w:rsidR="00B51746" w:rsidRDefault="00B51746" w:rsidP="00B51746">
      <w:pPr>
        <w:spacing w:after="120"/>
        <w:jc w:val="center"/>
        <w:rPr>
          <w:rFonts w:ascii="Times New Roman" w:hAnsi="Times New Roman" w:cs="Times New Roman"/>
          <w:b/>
          <w:bCs/>
          <w:sz w:val="24"/>
          <w:szCs w:val="24"/>
        </w:rPr>
      </w:pPr>
    </w:p>
    <w:p w14:paraId="30A1004E" w14:textId="77777777" w:rsidR="00B51746" w:rsidRDefault="00B51746" w:rsidP="00B51746">
      <w:pPr>
        <w:spacing w:before="120" w:after="120" w:line="240" w:lineRule="auto"/>
        <w:ind w:right="120"/>
        <w:jc w:val="center"/>
        <w:rPr>
          <w:rFonts w:ascii="Times New Roman" w:hAnsi="Times New Roman" w:cs="Times New Roman"/>
          <w:sz w:val="24"/>
          <w:szCs w:val="24"/>
        </w:rPr>
      </w:pPr>
      <w:r>
        <w:rPr>
          <w:rFonts w:ascii="Times New Roman" w:hAnsi="Times New Roman" w:cs="Times New Roman"/>
          <w:b/>
          <w:sz w:val="24"/>
          <w:szCs w:val="24"/>
        </w:rPr>
        <w:t>EDITAL DE CHAMAMENTO PÚBLICO Nº 06/2024</w:t>
      </w:r>
    </w:p>
    <w:p w14:paraId="2B9581EF" w14:textId="77777777" w:rsidR="00B51746" w:rsidRDefault="00B51746" w:rsidP="00B51746">
      <w:pPr>
        <w:spacing w:after="120"/>
        <w:ind w:left="100"/>
        <w:jc w:val="center"/>
        <w:rPr>
          <w:rFonts w:ascii="Times New Roman" w:hAnsi="Times New Roman" w:cs="Times New Roman"/>
          <w:b/>
          <w:sz w:val="24"/>
          <w:szCs w:val="24"/>
        </w:rPr>
      </w:pPr>
      <w:r>
        <w:rPr>
          <w:rFonts w:ascii="Times New Roman" w:hAnsi="Times New Roman" w:cs="Times New Roman"/>
          <w:b/>
          <w:sz w:val="24"/>
          <w:szCs w:val="24"/>
        </w:rPr>
        <w:t>TERMO DE EXECUÇÃO CULTURAL</w:t>
      </w:r>
    </w:p>
    <w:p w14:paraId="21A6803F" w14:textId="60400AA8" w:rsidR="00B51746" w:rsidRDefault="00B51746" w:rsidP="00B51746">
      <w:pPr>
        <w:spacing w:after="120"/>
        <w:ind w:left="100"/>
        <w:jc w:val="both"/>
        <w:rPr>
          <w:rFonts w:ascii="Times New Roman" w:hAnsi="Times New Roman" w:cs="Times New Roman"/>
          <w:sz w:val="24"/>
          <w:szCs w:val="24"/>
        </w:rPr>
      </w:pPr>
      <w:r>
        <w:rPr>
          <w:rFonts w:ascii="Times New Roman" w:hAnsi="Times New Roman" w:cs="Times New Roman"/>
          <w:sz w:val="24"/>
          <w:szCs w:val="24"/>
        </w:rPr>
        <w:t xml:space="preserve">TERMO DE EXECUÇÃO CULTURAL Nº [INDICAR </w:t>
      </w:r>
      <w:proofErr w:type="gramStart"/>
      <w:r>
        <w:rPr>
          <w:rFonts w:ascii="Times New Roman" w:hAnsi="Times New Roman" w:cs="Times New Roman"/>
          <w:sz w:val="24"/>
          <w:szCs w:val="24"/>
        </w:rPr>
        <w:t>NÚMERO]/</w:t>
      </w:r>
      <w:proofErr w:type="gramEnd"/>
      <w:r>
        <w:rPr>
          <w:rFonts w:ascii="Times New Roman" w:hAnsi="Times New Roman" w:cs="Times New Roman"/>
          <w:sz w:val="24"/>
          <w:szCs w:val="24"/>
        </w:rPr>
        <w:t xml:space="preserve">[INDICAR ANO] TENDO POR OBJETO A CONCESSÃO DE APOIO FINANCEIRO A AÇÕES CULTURAIS CONTEMPLADAS PELO </w:t>
      </w:r>
      <w:r w:rsidRPr="00B51746">
        <w:rPr>
          <w:rFonts w:ascii="Times New Roman" w:hAnsi="Times New Roman" w:cs="Times New Roman"/>
          <w:b/>
          <w:bCs/>
          <w:sz w:val="24"/>
          <w:szCs w:val="24"/>
        </w:rPr>
        <w:t>EDITAL</w:t>
      </w:r>
      <w:r w:rsidRPr="00B51746">
        <w:rPr>
          <w:rFonts w:ascii="Times New Roman" w:hAnsi="Times New Roman" w:cs="Times New Roman"/>
          <w:b/>
          <w:bCs/>
          <w:sz w:val="24"/>
          <w:szCs w:val="24"/>
        </w:rPr>
        <w:t xml:space="preserve"> DE CHAMAMENTO PÚBLICO Nº 06/2024</w:t>
      </w:r>
      <w:r>
        <w:rPr>
          <w:rFonts w:ascii="Times New Roman" w:hAnsi="Times New Roman" w:cs="Times New Roman"/>
          <w:i/>
          <w:iCs/>
          <w:color w:val="FF0000"/>
          <w:sz w:val="24"/>
          <w:szCs w:val="24"/>
        </w:rPr>
        <w:t xml:space="preserve"> </w:t>
      </w:r>
      <w:r>
        <w:rPr>
          <w:rFonts w:ascii="Times New Roman" w:hAnsi="Times New Roman" w:cs="Times New Roman"/>
          <w:i/>
          <w:iCs/>
          <w:sz w:val="24"/>
          <w:szCs w:val="24"/>
        </w:rPr>
        <w:t>–,</w:t>
      </w:r>
      <w:r>
        <w:rPr>
          <w:rFonts w:ascii="Times New Roman" w:hAnsi="Times New Roman" w:cs="Times New Roman"/>
          <w:sz w:val="24"/>
          <w:szCs w:val="24"/>
        </w:rPr>
        <w:t xml:space="preserve"> NOS TERMOS DA LEI Nº 14.399/2022 (PNAB), DA LEI Nº 14.903/2024 (MARCO REGULATÓRIO DO FOMENTO À CULTURA), DO DECRETO N. 11.740/2023 (DECRETO PNAB) E DO DECRETO Nº 11.453/2023 (DECRETO DE FOMENTO).</w:t>
      </w:r>
    </w:p>
    <w:p w14:paraId="0B92C33D"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1. PARTES</w:t>
      </w:r>
    </w:p>
    <w:p w14:paraId="1858A02D"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1.1 O</w:t>
      </w:r>
      <w:r>
        <w:rPr>
          <w:rFonts w:ascii="Times New Roman" w:hAnsi="Times New Roman" w:cs="Times New Roman"/>
          <w:color w:val="FF0000"/>
          <w:sz w:val="24"/>
          <w:szCs w:val="24"/>
        </w:rPr>
        <w:t xml:space="preserve"> </w:t>
      </w:r>
      <w:r>
        <w:rPr>
          <w:rFonts w:ascii="Times New Roman" w:hAnsi="Times New Roman" w:cs="Times New Roman"/>
          <w:b/>
          <w:sz w:val="24"/>
          <w:szCs w:val="24"/>
        </w:rPr>
        <w:t>MUNICÍPIO DE CAXIAS/MA</w:t>
      </w:r>
      <w:r>
        <w:rPr>
          <w:rFonts w:ascii="Times New Roman" w:hAnsi="Times New Roman" w:cs="Times New Roman"/>
          <w:sz w:val="24"/>
          <w:szCs w:val="24"/>
        </w:rPr>
        <w:t xml:space="preserve">, neste ato representado pela </w:t>
      </w:r>
      <w:r>
        <w:rPr>
          <w:rFonts w:ascii="Times New Roman" w:hAnsi="Times New Roman" w:cs="Times New Roman"/>
          <w:b/>
          <w:sz w:val="24"/>
          <w:szCs w:val="24"/>
        </w:rPr>
        <w:t>SECRETARIA MUNICIPAL DE CULTURA, TURISMO, JUVENTUDE E PATRIMÔNIO HISTÓRICO</w:t>
      </w:r>
      <w:r>
        <w:rPr>
          <w:rFonts w:ascii="Times New Roman" w:hAnsi="Times New Roman" w:cs="Times New Roman"/>
          <w:sz w:val="24"/>
          <w:szCs w:val="24"/>
        </w:rPr>
        <w:t xml:space="preserve">, Senhor </w:t>
      </w:r>
      <w:r>
        <w:rPr>
          <w:rFonts w:ascii="Times New Roman" w:hAnsi="Times New Roman" w:cs="Times New Roman"/>
          <w:b/>
          <w:sz w:val="24"/>
          <w:szCs w:val="24"/>
        </w:rPr>
        <w:t>MACIEL MOURÃO RAMOS</w:t>
      </w:r>
      <w:r>
        <w:rPr>
          <w:rFonts w:ascii="Times New Roman" w:hAnsi="Times New Roman" w:cs="Times New Roman"/>
          <w:sz w:val="24"/>
          <w:szCs w:val="24"/>
        </w:rPr>
        <w:t>, e o(a) AGENTE CULTURAL, [INDICAR NOME DO(A) AGENTE CULTURAL CONTEMPLADO], portador(a) do RG nº [INDICAR Nº DO RG], expedida em [INDICAR ÓRGÃO EXPEDIDOR], CPF nº [INDICAR Nº DO CPF], residente e domiciliado(a) à [INDICAR ENDEREÇO], CEP: [INDICAR CEP], telefones: [INDICAR TELEFONES], resolvem firmar o presente Termo de Execução Cultural, de acordo com as seguintes condições:</w:t>
      </w:r>
    </w:p>
    <w:p w14:paraId="1B05ADD9"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2. PROCEDIMENTO</w:t>
      </w:r>
    </w:p>
    <w:p w14:paraId="43EB2CF5" w14:textId="77777777" w:rsidR="00B51746" w:rsidRDefault="00B51746" w:rsidP="00B51746">
      <w:pPr>
        <w:spacing w:after="120"/>
        <w:ind w:left="100"/>
        <w:jc w:val="both"/>
        <w:rPr>
          <w:rFonts w:ascii="Times New Roman" w:hAnsi="Times New Roman" w:cs="Times New Roman"/>
          <w:sz w:val="24"/>
          <w:szCs w:val="24"/>
        </w:rPr>
      </w:pPr>
      <w:r>
        <w:rPr>
          <w:rFonts w:ascii="Times New Roman" w:hAnsi="Times New Roman" w:cs="Times New Roman"/>
          <w:sz w:val="24"/>
          <w:szCs w:val="24"/>
        </w:rPr>
        <w:t>2.1 Este Termo de Execução Cultural é instrumento da modalidade de fomento à execução de ações culturais, celebrado com agente cultural selecionado nos termos da LEI Nº 14.399/2022 (PNAB), da LEI Nº 14.903/2024 (Marco regulatório do fomento à cultura), do DECRETO N. 11.740/2023 (DECRETO PNAB) e do DECRETO Nº 11.453/2023 (DECRETO DE FOMENTO).</w:t>
      </w:r>
    </w:p>
    <w:p w14:paraId="302885A7"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3. OBJETO</w:t>
      </w:r>
    </w:p>
    <w:p w14:paraId="1D9C188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3.1. Este Termo de Execução Cultural tem por objeto a concessão de apoio financeiro ao projeto cultural [INDICAR NOME DO PROJETO], contemplado no conforme processo administrativo nº [INDICAR NÚMERO DO PROCESSO]. </w:t>
      </w:r>
    </w:p>
    <w:p w14:paraId="0866E4F8"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 xml:space="preserve">4. RECURSOS FINANCEIROS </w:t>
      </w:r>
    </w:p>
    <w:p w14:paraId="6E6AA85A"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4.1. Os recursos financeiros para a execução do presente termo totalizam o montante de R$ [INDICAR VALOR EM NÚMERO ARÁBICO] ([INDICAR VALOR POR EXTENSO] reais).</w:t>
      </w:r>
    </w:p>
    <w:p w14:paraId="0CC96F9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4.2. Serão transferidos à conta do(a) AGENTE CULTURAL, especialmente aberta no [NOME DO BANCO], Agência [INDICAR AGÊNCIA], Conta Corrente nº [INDICAR CONTA], para recebimento e movimentação.</w:t>
      </w:r>
    </w:p>
    <w:p w14:paraId="26CBE208"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5. APLICAÇÃO DOS RECURSOS</w:t>
      </w:r>
    </w:p>
    <w:p w14:paraId="76AB1A61"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5.1 Os rendimentos de ativos financeiros poderão ser aplicados para o alcance do objeto, sem a necessidade de autorização prévia.</w:t>
      </w:r>
    </w:p>
    <w:p w14:paraId="1D1FF466"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6. OBRIGAÇÕES</w:t>
      </w:r>
    </w:p>
    <w:p w14:paraId="6DEFBBF4" w14:textId="77777777" w:rsidR="00B51746" w:rsidRDefault="00B51746" w:rsidP="00B51746">
      <w:pPr>
        <w:spacing w:after="100"/>
        <w:ind w:left="100"/>
        <w:jc w:val="both"/>
        <w:rPr>
          <w:rFonts w:ascii="Times New Roman" w:hAnsi="Times New Roman" w:cs="Times New Roman"/>
          <w:color w:val="FF0000"/>
          <w:sz w:val="24"/>
          <w:szCs w:val="24"/>
        </w:rPr>
      </w:pPr>
      <w:r>
        <w:rPr>
          <w:rFonts w:ascii="Times New Roman" w:hAnsi="Times New Roman" w:cs="Times New Roman"/>
          <w:sz w:val="24"/>
          <w:szCs w:val="24"/>
        </w:rPr>
        <w:t xml:space="preserve">6.1 São obrigações da Secretaria Municipal de Cultura, Turismo, Juventude e Patrimônio Histórico: </w:t>
      </w:r>
    </w:p>
    <w:p w14:paraId="210A63B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 transferir os recursos ao (a) AGENTE CULTURAL; </w:t>
      </w:r>
    </w:p>
    <w:p w14:paraId="26A163A4"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lastRenderedPageBreak/>
        <w:t xml:space="preserve">II) orientar o(a) AGENTE CULTURAL sobre o procedimento para a prestação de informações dos recursos concedidos; </w:t>
      </w:r>
    </w:p>
    <w:p w14:paraId="18784879"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III) analisar e emitir parecer sobre os relatórios e sobre a prestação de informações apresentados pelo(a) AGENTE CULTURAL; </w:t>
      </w:r>
    </w:p>
    <w:p w14:paraId="5980FEC8"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IV) zelar pelo fiel cumprimento deste termo de execução cultural; </w:t>
      </w:r>
    </w:p>
    <w:p w14:paraId="44BB1AA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V) adotar medidas saneadoras e corretivas quando houver inadimplemento;</w:t>
      </w:r>
    </w:p>
    <w:p w14:paraId="58FAEE0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VI) monitorar o cumprimento pelo(a) AGENTE CULTURAL das obrigações previstas na CLÁUSULA 6.2.</w:t>
      </w:r>
    </w:p>
    <w:p w14:paraId="2D8B8A6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6.2 São obrigações do(a) AGENTE CULTURAL: </w:t>
      </w:r>
    </w:p>
    <w:p w14:paraId="5D4A03F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 executar a ação cultural aprovada; </w:t>
      </w:r>
    </w:p>
    <w:p w14:paraId="7B86CD14"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II) aplicar os recursos concedidos na realização da ação cultural; </w:t>
      </w:r>
    </w:p>
    <w:p w14:paraId="7D767ADD"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III) manter, obrigatória e exclusivamente, os recursos financeiros depositados na conta especialmente aberta para o Termo de Execução Cultural;</w:t>
      </w:r>
    </w:p>
    <w:p w14:paraId="45546134"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IV) facilitar o monitoramento, o controle e supervisão do termo de execução cultural bem como o acesso ao local de realização da ação cultural;</w:t>
      </w:r>
    </w:p>
    <w:p w14:paraId="5121D78A"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V) prestar informações à Secretaria Municipal de Cultura, Turismo, Juventude e Patrimônio Histórico por meio de Relatório de Execução do Objeto, apresentado no prazo máximo de </w:t>
      </w:r>
      <w:r>
        <w:rPr>
          <w:rFonts w:ascii="Times New Roman" w:hAnsi="Times New Roman" w:cs="Times New Roman"/>
          <w:b/>
          <w:sz w:val="24"/>
          <w:szCs w:val="24"/>
        </w:rPr>
        <w:t>31 de julho de 2025</w:t>
      </w:r>
      <w:r>
        <w:rPr>
          <w:rFonts w:ascii="Times New Roman" w:hAnsi="Times New Roman" w:cs="Times New Roman"/>
          <w:sz w:val="24"/>
          <w:szCs w:val="24"/>
        </w:rPr>
        <w:t>.</w:t>
      </w:r>
    </w:p>
    <w:p w14:paraId="1A56A632"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VI) atender a qualquer solicitação regular feita pela Secretaria Municipal de Cultura, Turismo, Juventude e Patrimônio Histórico a contar do recebimento da notificação; </w:t>
      </w:r>
    </w:p>
    <w:p w14:paraId="09329692"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VII) divulgar nos meios de comunicação a informação de que a ação cultural aprovada é apoiada com recursos da Política Nacional Aldir Blanc de Fomento à Cultura, incluindo as marcas do Governo federal, de acordo com as orientações técnicas do manual de aplicação de marcas divulgado pelo Ministério da Cultura;</w:t>
      </w:r>
    </w:p>
    <w:p w14:paraId="74C720AC"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VIII) não realizar despesa em data anterior ou posterior à vigência deste termo de execução cultural; </w:t>
      </w:r>
    </w:p>
    <w:p w14:paraId="163D6B2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IX) guardar a documentação referente à prestação de informações e financeira pelo prazo de 5 anos, contados do fim da vigência deste Termo de Execução Cultural; </w:t>
      </w:r>
    </w:p>
    <w:p w14:paraId="4D45B7ED"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X) não utilizar os recursos para finalidade diversa da estabelecida no projeto cultural;</w:t>
      </w:r>
    </w:p>
    <w:p w14:paraId="06ADCE60"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XI) encaminhar os documentos do novo dirigente, bem como nova ata de eleição ou termo de posse, em caso de falecimento ou substituição de dirigente da entidade cultural, caso seja agente cultural pessoa jurídica. </w:t>
      </w:r>
    </w:p>
    <w:p w14:paraId="54D2F318" w14:textId="77777777" w:rsidR="00B51746" w:rsidRDefault="00B51746" w:rsidP="00B51746">
      <w:pPr>
        <w:spacing w:after="100"/>
        <w:ind w:left="100"/>
        <w:jc w:val="both"/>
        <w:rPr>
          <w:rFonts w:ascii="Times New Roman" w:hAnsi="Times New Roman" w:cs="Times New Roman"/>
          <w:b/>
          <w:bCs/>
          <w:color w:val="FF0000"/>
          <w:sz w:val="24"/>
          <w:szCs w:val="24"/>
        </w:rPr>
      </w:pPr>
      <w:r>
        <w:rPr>
          <w:rFonts w:ascii="Times New Roman" w:hAnsi="Times New Roman" w:cs="Times New Roman"/>
          <w:b/>
          <w:bCs/>
          <w:sz w:val="24"/>
          <w:szCs w:val="24"/>
        </w:rPr>
        <w:t>7. PRESTAÇÃO DE INFORMAÇÕES EM RELATÓRIO DE EXECUÇÃO DO OBJETO</w:t>
      </w:r>
    </w:p>
    <w:p w14:paraId="3BC4BEBA"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7.1 O agente cultural prestará contas à administração pública por meio da apresentação de Relatório de Objeto da Execução Cultural, no prazo de até 31 julho de 2025. </w:t>
      </w:r>
    </w:p>
    <w:p w14:paraId="05D5CBB4"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7.1.1 O Relatório de Objeto da Execução Cultural deverá:</w:t>
      </w:r>
    </w:p>
    <w:p w14:paraId="75F45B9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 - Comprovar que foram alcançados os resultados da ação cultural;</w:t>
      </w:r>
    </w:p>
    <w:p w14:paraId="3A6B3162"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II - Conter a descrição das ações desenvolvidas para o cumprimento do objeto; </w:t>
      </w:r>
    </w:p>
    <w:p w14:paraId="3D5261F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III - Ter anexados documentos de comprovação do cumprimento do objeto, tais como: Declarações de realização dos eventos, com registro fotográfico ou audiovisual, clipping de matérias jornalísticas, </w:t>
      </w:r>
      <w:r>
        <w:rPr>
          <w:rFonts w:ascii="Times New Roman" w:hAnsi="Times New Roman" w:cs="Times New Roman"/>
          <w:sz w:val="24"/>
          <w:szCs w:val="24"/>
        </w:rPr>
        <w:lastRenderedPageBreak/>
        <w:t xml:space="preserve">releases, folders, catálogos, panfletos, filipetas, bem como outros documentos pertinentes à execução do projeto. </w:t>
      </w:r>
    </w:p>
    <w:p w14:paraId="1C85AAC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7.2 O agente público responsável pela análise do Relatório de Objeto da Execução Cultural deverá elaborar parecer técnico em que concluirá:</w:t>
      </w:r>
    </w:p>
    <w:p w14:paraId="4EF68BC2"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 - Pelo cumprimento integral do objeto ou pela suficiência do cumprimento parcial devidamente justificada e providenciará imediato encaminhamento do processo à autoridade julgadora;</w:t>
      </w:r>
    </w:p>
    <w:p w14:paraId="635C7308"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 - Pela necessidade de o agente cultural apresentar documentação complementar relativa ao cumprimento do objeto;</w:t>
      </w:r>
    </w:p>
    <w:p w14:paraId="6CB5E6C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III - Pela necessidade de o agente cultural apresentar Relatório Financeiro da Execução Cultural, caso considere os elementos contidos no Relatório de Objeto da Execução Cultural e na documentação complementar insuficientes para demonstrar o cumprimento integral do objeto ou o cumprimento parcial justificado.</w:t>
      </w:r>
    </w:p>
    <w:p w14:paraId="1963373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7.3 Após o recebimento do processo pelo agente público de que trata o item 7.2, autoridade responsável pelo julgamento da prestação de informações poderá:</w:t>
      </w:r>
    </w:p>
    <w:p w14:paraId="0E49E112"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 - Solicitar documentação complementar; </w:t>
      </w:r>
    </w:p>
    <w:p w14:paraId="434C29D5"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 - Aprovar sem ressalvas a prestação de contas, quando estiver convencida do cumprimento integral do objeto;</w:t>
      </w:r>
    </w:p>
    <w:p w14:paraId="5BEDB65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III - Aprovar com ressalvas a prestação de contas, quando for comprovada a realização da ação cultural, mas verificada inadequação na execução do objeto ou na execução financeira, sem má-fé; </w:t>
      </w:r>
    </w:p>
    <w:p w14:paraId="4979A311"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IV - Rejeitar a prestação de contas, total ou parcialmente, e determinar uma das seguintes medidas:</w:t>
      </w:r>
    </w:p>
    <w:p w14:paraId="5A718D21"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a) Devolução de recursos em valor proporcional à inexecução de objeto verificada; </w:t>
      </w:r>
    </w:p>
    <w:p w14:paraId="51400F8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b) Pagamento de multa, nos termos do regulamento; </w:t>
      </w:r>
    </w:p>
    <w:p w14:paraId="21A11832"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c) Suspensão da possibilidade de celebrar novo instrumento do regime próprio de fomento à cultura pelo prazo de 180 (cento e oitenta) a 540 (quinhentos e quarenta) dias. </w:t>
      </w:r>
    </w:p>
    <w:p w14:paraId="3C2A01B1"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7.4 O Relatório Financeiro da Execução Cultural será exigido, independente da modalidade inicial de prestação de informações (in loco ou em relatório de execução do objeto), somente nas seguintes hipóteses:</w:t>
      </w:r>
    </w:p>
    <w:p w14:paraId="328FC0BD"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 - Quando não estiver comprovado o cumprimento do objeto, observados os procedimentos previstos nos itens anteriores; ou</w:t>
      </w:r>
    </w:p>
    <w:p w14:paraId="4FE1D98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 - Quando for recebida, pela administração pública, denúncia de irregularidade na execução da ação cultural, mediante juízo de admissibilidade que avaliará os elementos fáticos apresentados.</w:t>
      </w:r>
    </w:p>
    <w:p w14:paraId="26637CE5"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7.4.1 O prazo para apresentação do Relatório Financeiro da Execução Cultural será de 120 dias contados do recebimento da notificação.</w:t>
      </w:r>
    </w:p>
    <w:p w14:paraId="51BB1709"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7.5 Na hipótese de o julgamento da prestação de informações apontar a necessidade de devolução de recursos, o agente cultural será notificado para que exerça a opção por:</w:t>
      </w:r>
    </w:p>
    <w:p w14:paraId="116F96CE"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 - Devolução parcial ou integral dos recursos ao erário;</w:t>
      </w:r>
    </w:p>
    <w:p w14:paraId="00F90AD9"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 - Apresentação de plano de ações compensatórias; ou</w:t>
      </w:r>
    </w:p>
    <w:p w14:paraId="6D21C82C"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III - Devolução parcial dos recursos ao erário juntamente com a apresentação de plano de ações compensatórias.</w:t>
      </w:r>
    </w:p>
    <w:p w14:paraId="440939A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lastRenderedPageBreak/>
        <w:t>7.5.1 A ocorrência de caso fortuito ou força maior impeditiva da execução do instrumento afasta a reprovação da prestação de informações, desde que comprovada.</w:t>
      </w:r>
    </w:p>
    <w:p w14:paraId="30F639E7"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7.5.2 Nos casos em que estiver caracterizada má-fé do agente cultural, será imediatamente exigida a devolução de recursos ao erário, vedada a aceitação de plano de ações compensatórias.</w:t>
      </w:r>
    </w:p>
    <w:p w14:paraId="71181228"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7.5.3 Nos casos em que houver exigência de devolução de recursos ao erário, o agente cultural poderá solicitar o parcelamento do débito, na forma e nas condições previstas na legislação.</w:t>
      </w:r>
    </w:p>
    <w:p w14:paraId="437D6E0F"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8. ALTERAÇÃO DO TERMO DE EXECUÇÃO CULTURAL</w:t>
      </w:r>
    </w:p>
    <w:p w14:paraId="3DF4141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8.1 A alteração do termo de execução cultural será formalizada por meio de termo aditivo.</w:t>
      </w:r>
    </w:p>
    <w:p w14:paraId="57B35347"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8.2 A formalização de termo aditivo não será necessária nas seguintes hipóteses:</w:t>
      </w:r>
    </w:p>
    <w:p w14:paraId="158EA8F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 - Prorrogação de vigência realizada de ofício pela administração pública quando der causa ao atraso na liberação de recursos; e</w:t>
      </w:r>
    </w:p>
    <w:p w14:paraId="1CF5650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 - Alteração do projeto sem modificação do valor global do instrumento e sem modificação substancial do objeto.</w:t>
      </w:r>
    </w:p>
    <w:p w14:paraId="0D3167B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8.3 Na hipótese de prorrogação de vigência, o saldo de recursos será automaticamente mantido na conta a fim de viabilizar a continuidade da execução do objeto.</w:t>
      </w:r>
    </w:p>
    <w:p w14:paraId="3B652E8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8.4 As alterações do projeto cujo escopo seja de, no máximo, 20% do valor total poderão ser realizadas pelo agente cultural e comunicadas à administração pública em seguida, sem a necessidade de autorização prévia.</w:t>
      </w:r>
    </w:p>
    <w:p w14:paraId="33B6B05C"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8.5 A aplicação de rendimentos de ativos financeiros em benefício do objeto do termo de execução cultural poderá ser realizada pelo agente cultural sem a necessidade de autorização prévia da administração pública.</w:t>
      </w:r>
    </w:p>
    <w:p w14:paraId="02987F8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8.6 Nas hipóteses de alterações em que não seja necessário termo aditivo, poderá ser realizado apostilamento.</w:t>
      </w:r>
    </w:p>
    <w:p w14:paraId="2F624507"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9. TITULARIDADE DE BENS</w:t>
      </w:r>
    </w:p>
    <w:p w14:paraId="67FEDA3C"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9.1 Os bens permanentes adquiridos, produzidos ou transformados em decorrência da execução da ação cultural fomentada serão de titularidade do agente cultural desde a data da sua aquisição.</w:t>
      </w:r>
    </w:p>
    <w:p w14:paraId="3707259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9.2 Nos casos de rejeição da prestação de contas em razão da aquisição ou do uso do bem, o valor pago pela aquisição será computado no cálculo de valores a devolver, com atualização monetária.</w:t>
      </w:r>
    </w:p>
    <w:p w14:paraId="2839B3A6"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10. EXTINÇÃO DO TERMO DE EXECUÇÃO CULTURAL</w:t>
      </w:r>
    </w:p>
    <w:p w14:paraId="48ADBE12"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10.1 O presente Termo de Execução Cultural poderá ser:</w:t>
      </w:r>
    </w:p>
    <w:p w14:paraId="4C619F6A"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 - Extinto por decurso de prazo;</w:t>
      </w:r>
    </w:p>
    <w:p w14:paraId="582D8E68"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II - Extinto, de comum acordo antes do prazo avençado, mediante Termo de Distrato;</w:t>
      </w:r>
    </w:p>
    <w:p w14:paraId="66BD1102" w14:textId="77777777" w:rsidR="00B51746" w:rsidRDefault="00B51746" w:rsidP="00B51746">
      <w:pPr>
        <w:spacing w:after="100"/>
        <w:ind w:left="100"/>
        <w:jc w:val="both"/>
        <w:rPr>
          <w:rFonts w:ascii="Times New Roman" w:eastAsiaTheme="minorHAnsi" w:hAnsi="Times New Roman" w:cs="Times New Roman"/>
          <w:sz w:val="24"/>
          <w:szCs w:val="24"/>
        </w:rPr>
      </w:pPr>
      <w:r>
        <w:rPr>
          <w:rFonts w:ascii="Times New Roman" w:hAnsi="Times New Roman" w:cs="Times New Roman"/>
          <w:sz w:val="24"/>
          <w:szCs w:val="24"/>
        </w:rPr>
        <w:t xml:space="preserve">III - </w:t>
      </w:r>
      <w:r>
        <w:rPr>
          <w:rFonts w:ascii="Times New Roman" w:eastAsiaTheme="minorHAnsi" w:hAnsi="Times New Roman" w:cs="Times New Roman"/>
          <w:sz w:val="24"/>
          <w:szCs w:val="24"/>
        </w:rPr>
        <w:t>Denunciado, por decisão unilateral de qualquer dos partícipes, independentemente de autorização judicial, mediante prévia notificação por escrito ao outro partícipe; ou</w:t>
      </w:r>
    </w:p>
    <w:p w14:paraId="7E4262C6" w14:textId="77777777" w:rsidR="00B51746" w:rsidRDefault="00B51746" w:rsidP="00B51746">
      <w:pPr>
        <w:spacing w:after="100"/>
        <w:ind w:left="100"/>
        <w:jc w:val="both"/>
        <w:rPr>
          <w:rFonts w:ascii="Times New Roman" w:eastAsiaTheme="minorHAnsi" w:hAnsi="Times New Roman" w:cs="Times New Roman"/>
          <w:sz w:val="24"/>
          <w:szCs w:val="24"/>
        </w:rPr>
      </w:pPr>
      <w:r>
        <w:rPr>
          <w:rFonts w:ascii="Times New Roman" w:hAnsi="Times New Roman" w:cs="Times New Roman"/>
          <w:sz w:val="24"/>
          <w:szCs w:val="24"/>
        </w:rPr>
        <w:t>IV -</w:t>
      </w:r>
      <w:r>
        <w:rPr>
          <w:rFonts w:ascii="Times New Roman" w:eastAsiaTheme="minorHAnsi" w:hAnsi="Times New Roman" w:cs="Times New Roman"/>
          <w:sz w:val="24"/>
          <w:szCs w:val="24"/>
        </w:rPr>
        <w:t xml:space="preserve"> Rescindido, por decisão unilateral de qualquer dos partícipes, independentemente de autorização judicial, mediante prévia notificação por escrito ao outro partícipe, nas seguintes hipóteses:</w:t>
      </w:r>
    </w:p>
    <w:p w14:paraId="53D43918"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a) Descumprimento injustificado de cláusula deste instrumento;</w:t>
      </w:r>
    </w:p>
    <w:p w14:paraId="0F9F2E9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b) Irregularidade ou inexecução injustificada, ainda que parcial, do objeto, resultados ou metas pactuadas;</w:t>
      </w:r>
    </w:p>
    <w:p w14:paraId="68CB9E76"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lastRenderedPageBreak/>
        <w:t>c) Violação da legislação aplicável;</w:t>
      </w:r>
    </w:p>
    <w:p w14:paraId="668B10D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d) Cometimento de falhas reiteradas na execução;</w:t>
      </w:r>
    </w:p>
    <w:p w14:paraId="00132C75"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e) Má administração de recursos públicos;</w:t>
      </w:r>
    </w:p>
    <w:p w14:paraId="7A9D3820"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f) Constatação de falsidade ou fraude nas informações ou documentos apresentados;</w:t>
      </w:r>
    </w:p>
    <w:p w14:paraId="7C7F2998"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g) Não atendimento às recomendações ou determinações decorrentes da fiscalização;</w:t>
      </w:r>
    </w:p>
    <w:p w14:paraId="356BB184"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h) Outras hipóteses expressamente previstas na legislação aplicável.</w:t>
      </w:r>
    </w:p>
    <w:p w14:paraId="7F85F42F"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10.2 Os casos de rescisão unilateral serão formalmente motivados nos autos do processo administrativo, assegurado o contraditório e a ampla defesa. O prazo de defesa será de 10 (dez) dias da abertura de vista do processo. </w:t>
      </w:r>
    </w:p>
    <w:p w14:paraId="50F5AA1B"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10.3 Na hipótese de irregularidade na execução do objeto que enseje danos ao erário, deverá ser instaurada Tomada de Contas Especial caso os valores relacionados à irregularidade não sejam devolvidos no prazo estabelecido pela Administração Pública.</w:t>
      </w:r>
    </w:p>
    <w:p w14:paraId="7B8BB189"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 xml:space="preserve">10.4 Outras situações relativas à extinção deste Termo não previstas na legislação aplicável ou neste instrumento poderão ser negociadas entre as partes ou, se for o caso, no Termo de Distrato.  </w:t>
      </w:r>
    </w:p>
    <w:p w14:paraId="3926CBE8"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 xml:space="preserve">11. MONITORAMENTO E CONTROLE DE RESULTADOS </w:t>
      </w:r>
    </w:p>
    <w:p w14:paraId="206955EE" w14:textId="77777777" w:rsidR="00B51746" w:rsidRDefault="00B51746" w:rsidP="00B51746">
      <w:pPr>
        <w:autoSpaceDE w:val="0"/>
        <w:autoSpaceDN w:val="0"/>
        <w:adjustRightInd w:val="0"/>
        <w:spacing w:line="276" w:lineRule="auto"/>
        <w:jc w:val="both"/>
        <w:rPr>
          <w:rFonts w:ascii="Times New Roman" w:hAnsi="Times New Roman" w:cs="Times New Roman"/>
          <w:sz w:val="24"/>
          <w:szCs w:val="24"/>
        </w:rPr>
      </w:pPr>
      <w:r>
        <w:rPr>
          <w:rFonts w:ascii="Times New Roman" w:hAnsi="Times New Roman" w:cs="Times New Roman"/>
          <w:sz w:val="24"/>
          <w:szCs w:val="24"/>
        </w:rPr>
        <w:t>11.1 Para efeito de monitoramento e controle do projeto cultural aprovado, será realizado pela Secretaria Municipal de cultura, Turismo, Juventude e Patrimônio Histórico;</w:t>
      </w:r>
    </w:p>
    <w:p w14:paraId="04124C5A" w14:textId="77777777" w:rsidR="00B51746" w:rsidRDefault="00B51746" w:rsidP="00B51746">
      <w:pPr>
        <w:autoSpaceDE w:val="0"/>
        <w:autoSpaceDN w:val="0"/>
        <w:adjustRightInd w:val="0"/>
        <w:spacing w:line="276" w:lineRule="auto"/>
        <w:jc w:val="both"/>
        <w:rPr>
          <w:rFonts w:ascii="Times New Roman" w:hAnsi="Times New Roman" w:cs="Times New Roman"/>
          <w:color w:val="FF0000"/>
          <w:sz w:val="24"/>
          <w:szCs w:val="24"/>
        </w:rPr>
      </w:pPr>
      <w:r>
        <w:rPr>
          <w:rFonts w:ascii="Times New Roman" w:hAnsi="Times New Roman" w:cs="Times New Roman"/>
          <w:sz w:val="24"/>
          <w:szCs w:val="24"/>
        </w:rPr>
        <w:t>11.2. Os procedimentos de monitoramento e avaliação do projeto cultural contemplado, assim como prestação de informação à Administração Pública, observarão o Decreto nº 11.453/2023, que dispõe sobre os mecanismos de fomento do sistema de financiamento à cultura, observadas as exigências legais de simplificação e de foco no cumprimento do objeto.</w:t>
      </w:r>
    </w:p>
    <w:p w14:paraId="4D07D7B6" w14:textId="77777777" w:rsidR="00B51746" w:rsidRDefault="00B51746" w:rsidP="00B51746">
      <w:pPr>
        <w:spacing w:after="100" w:line="276" w:lineRule="auto"/>
        <w:ind w:left="100"/>
        <w:jc w:val="both"/>
        <w:rPr>
          <w:rFonts w:ascii="Times New Roman" w:hAnsi="Times New Roman" w:cs="Times New Roman"/>
          <w:b/>
          <w:bCs/>
          <w:sz w:val="24"/>
          <w:szCs w:val="24"/>
        </w:rPr>
      </w:pPr>
      <w:r>
        <w:rPr>
          <w:rFonts w:ascii="Times New Roman" w:hAnsi="Times New Roman" w:cs="Times New Roman"/>
          <w:b/>
          <w:bCs/>
          <w:sz w:val="24"/>
          <w:szCs w:val="24"/>
        </w:rPr>
        <w:t xml:space="preserve">12. VIGÊNCIA </w:t>
      </w:r>
    </w:p>
    <w:p w14:paraId="40EB31BE" w14:textId="77777777" w:rsidR="00B51746" w:rsidRDefault="00B51746" w:rsidP="00B51746">
      <w:pPr>
        <w:spacing w:after="100"/>
        <w:ind w:left="100"/>
        <w:jc w:val="both"/>
        <w:rPr>
          <w:rFonts w:ascii="Times New Roman" w:hAnsi="Times New Roman" w:cs="Times New Roman"/>
          <w:color w:val="FF0000"/>
          <w:sz w:val="24"/>
          <w:szCs w:val="24"/>
        </w:rPr>
      </w:pPr>
      <w:r>
        <w:rPr>
          <w:rFonts w:ascii="Times New Roman" w:hAnsi="Times New Roman" w:cs="Times New Roman"/>
          <w:sz w:val="24"/>
          <w:szCs w:val="24"/>
        </w:rPr>
        <w:t>12.1 A vigência deste instrumento terá início na data de assinatura das partes, com duração de 06 meses, podendo ser prorrogado caso haja interesse público.</w:t>
      </w:r>
    </w:p>
    <w:p w14:paraId="19E00A96"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 xml:space="preserve">13. PUBLICAÇÃO </w:t>
      </w:r>
    </w:p>
    <w:p w14:paraId="4302D7B0"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13.1 O Extrato do Termo de Execução Cultural será publicado no Diário Oficial do Município de Caxias/MA.</w:t>
      </w:r>
    </w:p>
    <w:p w14:paraId="5F194172" w14:textId="77777777" w:rsidR="00B51746" w:rsidRDefault="00B51746" w:rsidP="00B51746">
      <w:pPr>
        <w:spacing w:after="100"/>
        <w:ind w:left="100"/>
        <w:jc w:val="both"/>
        <w:rPr>
          <w:rFonts w:ascii="Times New Roman" w:hAnsi="Times New Roman" w:cs="Times New Roman"/>
          <w:b/>
          <w:bCs/>
          <w:sz w:val="24"/>
          <w:szCs w:val="24"/>
        </w:rPr>
      </w:pPr>
      <w:r>
        <w:rPr>
          <w:rFonts w:ascii="Times New Roman" w:hAnsi="Times New Roman" w:cs="Times New Roman"/>
          <w:b/>
          <w:bCs/>
          <w:sz w:val="24"/>
          <w:szCs w:val="24"/>
        </w:rPr>
        <w:t xml:space="preserve">14. FORO </w:t>
      </w:r>
    </w:p>
    <w:p w14:paraId="66F08954" w14:textId="77777777" w:rsidR="00B51746" w:rsidRDefault="00B51746" w:rsidP="00B51746">
      <w:pPr>
        <w:spacing w:after="100"/>
        <w:ind w:left="100"/>
        <w:jc w:val="both"/>
        <w:rPr>
          <w:rFonts w:ascii="Times New Roman" w:hAnsi="Times New Roman" w:cs="Times New Roman"/>
          <w:sz w:val="24"/>
          <w:szCs w:val="24"/>
        </w:rPr>
      </w:pPr>
      <w:r>
        <w:rPr>
          <w:rFonts w:ascii="Times New Roman" w:hAnsi="Times New Roman" w:cs="Times New Roman"/>
          <w:sz w:val="24"/>
          <w:szCs w:val="24"/>
        </w:rPr>
        <w:t>14.1 Fica eleito o Foro da Comarca de Caxias/MA</w:t>
      </w:r>
      <w:r>
        <w:rPr>
          <w:rFonts w:ascii="Times New Roman" w:hAnsi="Times New Roman" w:cs="Times New Roman"/>
          <w:color w:val="FF0000"/>
          <w:sz w:val="24"/>
          <w:szCs w:val="24"/>
        </w:rPr>
        <w:t xml:space="preserve"> </w:t>
      </w:r>
      <w:r>
        <w:rPr>
          <w:rFonts w:ascii="Times New Roman" w:hAnsi="Times New Roman" w:cs="Times New Roman"/>
          <w:sz w:val="24"/>
          <w:szCs w:val="24"/>
        </w:rPr>
        <w:t>para dirimir quaisquer dúvidas relativas ao presente Termo de Execução Cultural.</w:t>
      </w:r>
    </w:p>
    <w:p w14:paraId="34D15054" w14:textId="77777777" w:rsidR="00B51746" w:rsidRDefault="00B51746" w:rsidP="00B51746">
      <w:pPr>
        <w:spacing w:after="100"/>
        <w:ind w:left="100"/>
        <w:jc w:val="right"/>
        <w:rPr>
          <w:rFonts w:ascii="Times New Roman" w:hAnsi="Times New Roman" w:cs="Times New Roman"/>
          <w:sz w:val="24"/>
          <w:szCs w:val="24"/>
        </w:rPr>
      </w:pPr>
      <w:r>
        <w:rPr>
          <w:rFonts w:ascii="Times New Roman" w:hAnsi="Times New Roman" w:cs="Times New Roman"/>
          <w:sz w:val="24"/>
          <w:szCs w:val="24"/>
        </w:rPr>
        <w:t>Caxias/MA, ______ de ____________de 2024.</w:t>
      </w:r>
    </w:p>
    <w:p w14:paraId="5D03872C" w14:textId="77777777" w:rsidR="00B51746" w:rsidRDefault="00B51746" w:rsidP="00B51746">
      <w:pPr>
        <w:spacing w:after="100"/>
        <w:jc w:val="center"/>
        <w:rPr>
          <w:rFonts w:ascii="Times New Roman" w:hAnsi="Times New Roman" w:cs="Times New Roman"/>
          <w:sz w:val="24"/>
          <w:szCs w:val="24"/>
        </w:rPr>
      </w:pPr>
      <w:r>
        <w:rPr>
          <w:rFonts w:ascii="Times New Roman" w:hAnsi="Times New Roman" w:cs="Times New Roman"/>
          <w:sz w:val="24"/>
          <w:szCs w:val="24"/>
        </w:rPr>
        <w:t xml:space="preserve"> </w:t>
      </w:r>
    </w:p>
    <w:p w14:paraId="6B6588F6" w14:textId="77777777" w:rsidR="00B51746" w:rsidRDefault="00B51746" w:rsidP="00B51746">
      <w:pPr>
        <w:spacing w:after="100"/>
        <w:jc w:val="center"/>
        <w:rPr>
          <w:rFonts w:ascii="Times New Roman" w:hAnsi="Times New Roman" w:cs="Times New Roman"/>
          <w:sz w:val="24"/>
          <w:szCs w:val="24"/>
        </w:rPr>
      </w:pPr>
      <w:r>
        <w:rPr>
          <w:rFonts w:ascii="Times New Roman" w:hAnsi="Times New Roman" w:cs="Times New Roman"/>
          <w:sz w:val="24"/>
          <w:szCs w:val="24"/>
        </w:rPr>
        <w:t>_____________________________________________</w:t>
      </w:r>
    </w:p>
    <w:p w14:paraId="31442760" w14:textId="77777777" w:rsidR="00B51746" w:rsidRDefault="00B51746" w:rsidP="00B51746">
      <w:pPr>
        <w:spacing w:after="100"/>
        <w:jc w:val="center"/>
        <w:rPr>
          <w:rFonts w:ascii="Times New Roman" w:hAnsi="Times New Roman" w:cs="Times New Roman"/>
          <w:sz w:val="24"/>
          <w:szCs w:val="24"/>
        </w:rPr>
      </w:pPr>
      <w:r>
        <w:rPr>
          <w:rFonts w:ascii="Times New Roman" w:hAnsi="Times New Roman" w:cs="Times New Roman"/>
          <w:sz w:val="24"/>
          <w:szCs w:val="24"/>
        </w:rPr>
        <w:t>Maciel Mourão Ramos</w:t>
      </w:r>
    </w:p>
    <w:p w14:paraId="14E14493" w14:textId="77777777" w:rsidR="00B51746" w:rsidRDefault="00B51746" w:rsidP="00B51746">
      <w:pPr>
        <w:spacing w:after="100"/>
        <w:jc w:val="center"/>
        <w:rPr>
          <w:rFonts w:ascii="Times New Roman" w:hAnsi="Times New Roman" w:cs="Times New Roman"/>
          <w:sz w:val="24"/>
          <w:szCs w:val="24"/>
        </w:rPr>
      </w:pPr>
      <w:r>
        <w:rPr>
          <w:rFonts w:ascii="Times New Roman" w:hAnsi="Times New Roman" w:cs="Times New Roman"/>
          <w:sz w:val="24"/>
          <w:szCs w:val="24"/>
        </w:rPr>
        <w:t>Pelo Agente Cultural:</w:t>
      </w:r>
    </w:p>
    <w:p w14:paraId="211065BD" w14:textId="77777777" w:rsidR="00B51746" w:rsidRDefault="00B51746" w:rsidP="00B51746">
      <w:pPr>
        <w:spacing w:after="100"/>
        <w:jc w:val="center"/>
        <w:rPr>
          <w:rFonts w:ascii="Times New Roman" w:hAnsi="Times New Roman" w:cs="Times New Roman"/>
          <w:sz w:val="24"/>
          <w:szCs w:val="24"/>
        </w:rPr>
      </w:pPr>
      <w:r>
        <w:rPr>
          <w:rFonts w:ascii="Times New Roman" w:hAnsi="Times New Roman" w:cs="Times New Roman"/>
          <w:sz w:val="24"/>
          <w:szCs w:val="24"/>
        </w:rPr>
        <w:t>[NOME DO AGENTE CULTURAL]</w:t>
      </w:r>
    </w:p>
    <w:p w14:paraId="2BCA3033" w14:textId="77777777" w:rsidR="003E36C5" w:rsidRPr="00B51746" w:rsidRDefault="003E36C5" w:rsidP="00B51746"/>
    <w:sectPr w:rsidR="003E36C5" w:rsidRPr="00B51746" w:rsidSect="00594687">
      <w:headerReference w:type="default" r:id="rId12"/>
      <w:footerReference w:type="default" r:id="rId13"/>
      <w:pgSz w:w="11906" w:h="16838"/>
      <w:pgMar w:top="1440" w:right="1080" w:bottom="1440" w:left="1080" w:header="624"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A498D2" w14:textId="77777777" w:rsidR="00DC5C1D" w:rsidRDefault="00DC5C1D" w:rsidP="008B02BF">
      <w:pPr>
        <w:spacing w:after="0" w:line="240" w:lineRule="auto"/>
      </w:pPr>
      <w:r>
        <w:separator/>
      </w:r>
    </w:p>
  </w:endnote>
  <w:endnote w:type="continuationSeparator" w:id="0">
    <w:p w14:paraId="4D3597E5" w14:textId="77777777" w:rsidR="00DC5C1D" w:rsidRDefault="00DC5C1D" w:rsidP="008B02BF">
      <w:pPr>
        <w:spacing w:after="0" w:line="240" w:lineRule="auto"/>
      </w:pPr>
      <w:r>
        <w:continuationSeparator/>
      </w:r>
    </w:p>
  </w:endnote>
  <w:endnote w:type="continuationNotice" w:id="1">
    <w:p w14:paraId="54E789A7" w14:textId="77777777" w:rsidR="00DC5C1D" w:rsidRDefault="00DC5C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charset w:val="00"/>
    <w:family w:val="auto"/>
    <w:pitch w:val="default"/>
    <w:embedRegular r:id="rId1" w:fontKey="{51DC0725-7A77-4490-997F-265C7EE1B98F}"/>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B01CBB4C-25B7-472C-BCC6-76EC97AE5E7D}"/>
    <w:embedBold r:id="rId3" w:fontKey="{E5341C5F-BA9D-473B-9964-08D0AFC83B70}"/>
    <w:embedItalic r:id="rId4" w:fontKey="{555319DF-B1AC-4075-A3BB-ACA92E0821F6}"/>
  </w:font>
  <w:font w:name="Calibri Light">
    <w:panose1 w:val="020F0302020204030204"/>
    <w:charset w:val="00"/>
    <w:family w:val="swiss"/>
    <w:pitch w:val="variable"/>
    <w:sig w:usb0="E4002EFF" w:usb1="C000247B" w:usb2="00000009" w:usb3="00000000" w:csb0="000001FF" w:csb1="00000000"/>
    <w:embedRegular r:id="rId5" w:fontKey="{03F23C21-1E0E-4506-81E4-E0647CA6B0C7}"/>
  </w:font>
  <w:font w:name="Yu Gothic Light">
    <w:panose1 w:val="020B0300000000000000"/>
    <w:charset w:val="80"/>
    <w:family w:val="swiss"/>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6" w:fontKey="{F8BBF590-1703-4D7C-A2F8-30DA59EF190B}"/>
    <w:embedItalic r:id="rId7" w:fontKey="{D94B751E-1B73-4DE7-A71E-6B9A19C37F5B}"/>
  </w:font>
  <w:font w:name="Arial">
    <w:panose1 w:val="020B0604020202020204"/>
    <w:charset w:val="00"/>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163ACC" w14:textId="62703151" w:rsidR="00405B80" w:rsidRDefault="00405B80">
    <w:pPr>
      <w:pStyle w:val="Rodap"/>
      <w:jc w:val="right"/>
    </w:pPr>
    <w:r>
      <w:rPr>
        <w:noProof/>
      </w:rPr>
      <w:drawing>
        <wp:anchor distT="0" distB="0" distL="114300" distR="114300" simplePos="0" relativeHeight="251664384" behindDoc="1" locked="0" layoutInCell="1" allowOverlap="1" wp14:anchorId="066593AA" wp14:editId="0DAE65D8">
          <wp:simplePos x="0" y="0"/>
          <wp:positionH relativeFrom="column">
            <wp:posOffset>2119630</wp:posOffset>
          </wp:positionH>
          <wp:positionV relativeFrom="paragraph">
            <wp:posOffset>20320</wp:posOffset>
          </wp:positionV>
          <wp:extent cx="1923802" cy="557753"/>
          <wp:effectExtent l="0" t="0" r="635" b="0"/>
          <wp:wrapTight wrapText="bothSides">
            <wp:wrapPolygon edited="0">
              <wp:start x="0" y="0"/>
              <wp:lineTo x="0" y="20665"/>
              <wp:lineTo x="21393" y="20665"/>
              <wp:lineTo x="21393" y="0"/>
              <wp:lineTo x="0" y="0"/>
            </wp:wrapPolygon>
          </wp:wrapTight>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56957" t="44993" r="7410" b="36632"/>
                  <a:stretch/>
                </pic:blipFill>
                <pic:spPr bwMode="auto">
                  <a:xfrm>
                    <a:off x="0" y="0"/>
                    <a:ext cx="1923802" cy="55775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3C21E89" w14:textId="172B21A3" w:rsidR="00405B80" w:rsidRPr="00467AB7" w:rsidRDefault="00405B80" w:rsidP="00467AB7">
    <w:pPr>
      <w:pStyle w:val="Rodap"/>
      <w:rPr>
        <w:color w:val="FF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1F2798" w14:textId="77777777" w:rsidR="00DC5C1D" w:rsidRDefault="00DC5C1D" w:rsidP="008B02BF">
      <w:pPr>
        <w:spacing w:after="0" w:line="240" w:lineRule="auto"/>
      </w:pPr>
      <w:r>
        <w:separator/>
      </w:r>
    </w:p>
  </w:footnote>
  <w:footnote w:type="continuationSeparator" w:id="0">
    <w:p w14:paraId="454547E9" w14:textId="77777777" w:rsidR="00DC5C1D" w:rsidRDefault="00DC5C1D" w:rsidP="008B02BF">
      <w:pPr>
        <w:spacing w:after="0" w:line="240" w:lineRule="auto"/>
      </w:pPr>
      <w:r>
        <w:continuationSeparator/>
      </w:r>
    </w:p>
  </w:footnote>
  <w:footnote w:type="continuationNotice" w:id="1">
    <w:p w14:paraId="145E79DA" w14:textId="77777777" w:rsidR="00DC5C1D" w:rsidRDefault="00DC5C1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F19ECA" w14:textId="1A46BB50" w:rsidR="00405B80" w:rsidRPr="007A5E1D" w:rsidRDefault="00405B80" w:rsidP="00594687">
    <w:pPr>
      <w:pStyle w:val="Cabealho"/>
      <w:rPr>
        <w:color w:val="FF0000"/>
        <w:sz w:val="20"/>
        <w:szCs w:val="20"/>
      </w:rPr>
    </w:pPr>
    <w:r>
      <w:rPr>
        <w:noProof/>
      </w:rPr>
      <w:drawing>
        <wp:anchor distT="0" distB="0" distL="114300" distR="114300" simplePos="0" relativeHeight="251666432" behindDoc="1" locked="0" layoutInCell="1" allowOverlap="1" wp14:anchorId="357AD452" wp14:editId="08551D04">
          <wp:simplePos x="0" y="0"/>
          <wp:positionH relativeFrom="column">
            <wp:posOffset>151765</wp:posOffset>
          </wp:positionH>
          <wp:positionV relativeFrom="paragraph">
            <wp:posOffset>-167005</wp:posOffset>
          </wp:positionV>
          <wp:extent cx="1240155" cy="602615"/>
          <wp:effectExtent l="0" t="0" r="0" b="6985"/>
          <wp:wrapTight wrapText="bothSides">
            <wp:wrapPolygon edited="0">
              <wp:start x="0" y="0"/>
              <wp:lineTo x="0" y="21168"/>
              <wp:lineTo x="21235" y="21168"/>
              <wp:lineTo x="21235" y="0"/>
              <wp:lineTo x="0" y="0"/>
            </wp:wrapPolygon>
          </wp:wrapTight>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43808" t="42355" r="30398" b="35319"/>
                  <a:stretch/>
                </pic:blipFill>
                <pic:spPr bwMode="auto">
                  <a:xfrm>
                    <a:off x="0" y="0"/>
                    <a:ext cx="1240155" cy="6026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0306245A" wp14:editId="1DAD326A">
          <wp:simplePos x="0" y="0"/>
          <wp:positionH relativeFrom="column">
            <wp:posOffset>1577340</wp:posOffset>
          </wp:positionH>
          <wp:positionV relativeFrom="paragraph">
            <wp:posOffset>-80645</wp:posOffset>
          </wp:positionV>
          <wp:extent cx="4696828" cy="560614"/>
          <wp:effectExtent l="0" t="0" r="0" b="0"/>
          <wp:wrapTight wrapText="bothSides">
            <wp:wrapPolygon edited="0">
              <wp:start x="0" y="0"/>
              <wp:lineTo x="0" y="20571"/>
              <wp:lineTo x="21466" y="20571"/>
              <wp:lineTo x="21466" y="0"/>
              <wp:lineTo x="0" y="0"/>
            </wp:wrapPolygon>
          </wp:wrapTight>
          <wp:docPr id="517639539" name="Imagem 517639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696828" cy="56061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FC21C1"/>
    <w:multiLevelType w:val="hybridMultilevel"/>
    <w:tmpl w:val="2A5A2636"/>
    <w:lvl w:ilvl="0" w:tplc="0416000F">
      <w:start w:val="2"/>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 w15:restartNumberingAfterBreak="0">
    <w:nsid w:val="16422091"/>
    <w:multiLevelType w:val="multilevel"/>
    <w:tmpl w:val="45D456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16A56898"/>
    <w:multiLevelType w:val="hybridMultilevel"/>
    <w:tmpl w:val="9E06F1F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80810C4"/>
    <w:multiLevelType w:val="hybridMultilevel"/>
    <w:tmpl w:val="2A5A2636"/>
    <w:lvl w:ilvl="0" w:tplc="FFFFFFFF">
      <w:start w:val="2"/>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 w15:restartNumberingAfterBreak="0">
    <w:nsid w:val="188C798F"/>
    <w:multiLevelType w:val="multilevel"/>
    <w:tmpl w:val="4E16F470"/>
    <w:lvl w:ilvl="0">
      <w:start w:val="8"/>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09E7B46"/>
    <w:multiLevelType w:val="multilevel"/>
    <w:tmpl w:val="DB84189E"/>
    <w:lvl w:ilvl="0">
      <w:start w:val="12"/>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 w15:restartNumberingAfterBreak="0">
    <w:nsid w:val="434165B6"/>
    <w:multiLevelType w:val="hybridMultilevel"/>
    <w:tmpl w:val="63A8B544"/>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7" w15:restartNumberingAfterBreak="0">
    <w:nsid w:val="43D75A67"/>
    <w:multiLevelType w:val="multilevel"/>
    <w:tmpl w:val="C4C8CD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44F479F5"/>
    <w:multiLevelType w:val="hybridMultilevel"/>
    <w:tmpl w:val="08505656"/>
    <w:lvl w:ilvl="0" w:tplc="0416000F">
      <w:start w:val="1"/>
      <w:numFmt w:val="decimal"/>
      <w:lvlText w:val="%1."/>
      <w:lvlJc w:val="left"/>
      <w:pPr>
        <w:ind w:left="840" w:hanging="360"/>
      </w:pPr>
    </w:lvl>
    <w:lvl w:ilvl="1" w:tplc="04160019" w:tentative="1">
      <w:start w:val="1"/>
      <w:numFmt w:val="lowerLetter"/>
      <w:lvlText w:val="%2."/>
      <w:lvlJc w:val="left"/>
      <w:pPr>
        <w:ind w:left="1560" w:hanging="360"/>
      </w:pPr>
    </w:lvl>
    <w:lvl w:ilvl="2" w:tplc="0416001B" w:tentative="1">
      <w:start w:val="1"/>
      <w:numFmt w:val="lowerRoman"/>
      <w:lvlText w:val="%3."/>
      <w:lvlJc w:val="right"/>
      <w:pPr>
        <w:ind w:left="2280" w:hanging="180"/>
      </w:pPr>
    </w:lvl>
    <w:lvl w:ilvl="3" w:tplc="0416000F" w:tentative="1">
      <w:start w:val="1"/>
      <w:numFmt w:val="decimal"/>
      <w:lvlText w:val="%4."/>
      <w:lvlJc w:val="left"/>
      <w:pPr>
        <w:ind w:left="3000" w:hanging="360"/>
      </w:pPr>
    </w:lvl>
    <w:lvl w:ilvl="4" w:tplc="04160019" w:tentative="1">
      <w:start w:val="1"/>
      <w:numFmt w:val="lowerLetter"/>
      <w:lvlText w:val="%5."/>
      <w:lvlJc w:val="left"/>
      <w:pPr>
        <w:ind w:left="3720" w:hanging="360"/>
      </w:pPr>
    </w:lvl>
    <w:lvl w:ilvl="5" w:tplc="0416001B" w:tentative="1">
      <w:start w:val="1"/>
      <w:numFmt w:val="lowerRoman"/>
      <w:lvlText w:val="%6."/>
      <w:lvlJc w:val="right"/>
      <w:pPr>
        <w:ind w:left="4440" w:hanging="180"/>
      </w:pPr>
    </w:lvl>
    <w:lvl w:ilvl="6" w:tplc="0416000F" w:tentative="1">
      <w:start w:val="1"/>
      <w:numFmt w:val="decimal"/>
      <w:lvlText w:val="%7."/>
      <w:lvlJc w:val="left"/>
      <w:pPr>
        <w:ind w:left="5160" w:hanging="360"/>
      </w:pPr>
    </w:lvl>
    <w:lvl w:ilvl="7" w:tplc="04160019" w:tentative="1">
      <w:start w:val="1"/>
      <w:numFmt w:val="lowerLetter"/>
      <w:lvlText w:val="%8."/>
      <w:lvlJc w:val="left"/>
      <w:pPr>
        <w:ind w:left="5880" w:hanging="360"/>
      </w:pPr>
    </w:lvl>
    <w:lvl w:ilvl="8" w:tplc="0416001B" w:tentative="1">
      <w:start w:val="1"/>
      <w:numFmt w:val="lowerRoman"/>
      <w:lvlText w:val="%9."/>
      <w:lvlJc w:val="right"/>
      <w:pPr>
        <w:ind w:left="6600" w:hanging="180"/>
      </w:pPr>
    </w:lvl>
  </w:abstractNum>
  <w:abstractNum w:abstractNumId="9" w15:restartNumberingAfterBreak="0">
    <w:nsid w:val="54A21974"/>
    <w:multiLevelType w:val="hybridMultilevel"/>
    <w:tmpl w:val="C12061BE"/>
    <w:lvl w:ilvl="0" w:tplc="C0D09670">
      <w:start w:val="1"/>
      <w:numFmt w:val="decimal"/>
      <w:lvlText w:val="%1."/>
      <w:lvlJc w:val="left"/>
      <w:pPr>
        <w:ind w:left="480" w:hanging="360"/>
      </w:pPr>
      <w:rPr>
        <w:rFonts w:hint="default"/>
      </w:rPr>
    </w:lvl>
    <w:lvl w:ilvl="1" w:tplc="04160019" w:tentative="1">
      <w:start w:val="1"/>
      <w:numFmt w:val="lowerLetter"/>
      <w:lvlText w:val="%2."/>
      <w:lvlJc w:val="left"/>
      <w:pPr>
        <w:ind w:left="1200" w:hanging="360"/>
      </w:pPr>
    </w:lvl>
    <w:lvl w:ilvl="2" w:tplc="0416001B" w:tentative="1">
      <w:start w:val="1"/>
      <w:numFmt w:val="lowerRoman"/>
      <w:lvlText w:val="%3."/>
      <w:lvlJc w:val="right"/>
      <w:pPr>
        <w:ind w:left="1920" w:hanging="180"/>
      </w:pPr>
    </w:lvl>
    <w:lvl w:ilvl="3" w:tplc="0416000F" w:tentative="1">
      <w:start w:val="1"/>
      <w:numFmt w:val="decimal"/>
      <w:lvlText w:val="%4."/>
      <w:lvlJc w:val="left"/>
      <w:pPr>
        <w:ind w:left="2640" w:hanging="360"/>
      </w:pPr>
    </w:lvl>
    <w:lvl w:ilvl="4" w:tplc="04160019" w:tentative="1">
      <w:start w:val="1"/>
      <w:numFmt w:val="lowerLetter"/>
      <w:lvlText w:val="%5."/>
      <w:lvlJc w:val="left"/>
      <w:pPr>
        <w:ind w:left="3360" w:hanging="360"/>
      </w:pPr>
    </w:lvl>
    <w:lvl w:ilvl="5" w:tplc="0416001B" w:tentative="1">
      <w:start w:val="1"/>
      <w:numFmt w:val="lowerRoman"/>
      <w:lvlText w:val="%6."/>
      <w:lvlJc w:val="right"/>
      <w:pPr>
        <w:ind w:left="4080" w:hanging="180"/>
      </w:pPr>
    </w:lvl>
    <w:lvl w:ilvl="6" w:tplc="0416000F" w:tentative="1">
      <w:start w:val="1"/>
      <w:numFmt w:val="decimal"/>
      <w:lvlText w:val="%7."/>
      <w:lvlJc w:val="left"/>
      <w:pPr>
        <w:ind w:left="4800" w:hanging="360"/>
      </w:pPr>
    </w:lvl>
    <w:lvl w:ilvl="7" w:tplc="04160019" w:tentative="1">
      <w:start w:val="1"/>
      <w:numFmt w:val="lowerLetter"/>
      <w:lvlText w:val="%8."/>
      <w:lvlJc w:val="left"/>
      <w:pPr>
        <w:ind w:left="5520" w:hanging="360"/>
      </w:pPr>
    </w:lvl>
    <w:lvl w:ilvl="8" w:tplc="0416001B" w:tentative="1">
      <w:start w:val="1"/>
      <w:numFmt w:val="lowerRoman"/>
      <w:lvlText w:val="%9."/>
      <w:lvlJc w:val="right"/>
      <w:pPr>
        <w:ind w:left="6240" w:hanging="180"/>
      </w:pPr>
    </w:lvl>
  </w:abstractNum>
  <w:abstractNum w:abstractNumId="10" w15:restartNumberingAfterBreak="0">
    <w:nsid w:val="686A788C"/>
    <w:multiLevelType w:val="multilevel"/>
    <w:tmpl w:val="D7D45BA6"/>
    <w:lvl w:ilvl="0">
      <w:start w:val="1"/>
      <w:numFmt w:val="lowerLetter"/>
      <w:lvlText w:val="%1)"/>
      <w:lvlJc w:val="left"/>
      <w:pPr>
        <w:ind w:left="1125" w:hanging="360"/>
      </w:pPr>
      <w:rPr>
        <w:rFonts w:ascii="Calibri" w:eastAsia="Calibri" w:hAnsi="Calibri" w:cs="Calibri"/>
        <w:b w:val="0"/>
      </w:rPr>
    </w:lvl>
    <w:lvl w:ilvl="1">
      <w:start w:val="1"/>
      <w:numFmt w:val="lowerLetter"/>
      <w:lvlText w:val="%2."/>
      <w:lvlJc w:val="left"/>
      <w:pPr>
        <w:ind w:left="1845" w:hanging="360"/>
      </w:pPr>
    </w:lvl>
    <w:lvl w:ilvl="2">
      <w:start w:val="1"/>
      <w:numFmt w:val="lowerRoman"/>
      <w:lvlText w:val="%3."/>
      <w:lvlJc w:val="right"/>
      <w:pPr>
        <w:ind w:left="2565" w:hanging="180"/>
      </w:pPr>
    </w:lvl>
    <w:lvl w:ilvl="3">
      <w:start w:val="1"/>
      <w:numFmt w:val="decimal"/>
      <w:lvlText w:val="%4."/>
      <w:lvlJc w:val="left"/>
      <w:pPr>
        <w:ind w:left="3285" w:hanging="360"/>
      </w:pPr>
    </w:lvl>
    <w:lvl w:ilvl="4">
      <w:start w:val="1"/>
      <w:numFmt w:val="lowerLetter"/>
      <w:lvlText w:val="%5."/>
      <w:lvlJc w:val="left"/>
      <w:pPr>
        <w:ind w:left="4005" w:hanging="360"/>
      </w:pPr>
    </w:lvl>
    <w:lvl w:ilvl="5">
      <w:start w:val="1"/>
      <w:numFmt w:val="lowerRoman"/>
      <w:lvlText w:val="%6."/>
      <w:lvlJc w:val="right"/>
      <w:pPr>
        <w:ind w:left="4725" w:hanging="180"/>
      </w:pPr>
    </w:lvl>
    <w:lvl w:ilvl="6">
      <w:start w:val="1"/>
      <w:numFmt w:val="decimal"/>
      <w:lvlText w:val="%7."/>
      <w:lvlJc w:val="left"/>
      <w:pPr>
        <w:ind w:left="5445" w:hanging="360"/>
      </w:pPr>
    </w:lvl>
    <w:lvl w:ilvl="7">
      <w:start w:val="1"/>
      <w:numFmt w:val="lowerLetter"/>
      <w:lvlText w:val="%8."/>
      <w:lvlJc w:val="left"/>
      <w:pPr>
        <w:ind w:left="6165" w:hanging="360"/>
      </w:pPr>
    </w:lvl>
    <w:lvl w:ilvl="8">
      <w:start w:val="1"/>
      <w:numFmt w:val="lowerRoman"/>
      <w:lvlText w:val="%9."/>
      <w:lvlJc w:val="right"/>
      <w:pPr>
        <w:ind w:left="6885" w:hanging="180"/>
      </w:pPr>
    </w:lvl>
  </w:abstractNum>
  <w:abstractNum w:abstractNumId="11" w15:restartNumberingAfterBreak="0">
    <w:nsid w:val="6D6B70E9"/>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num w:numId="1">
    <w:abstractNumId w:val="11"/>
  </w:num>
  <w:num w:numId="2">
    <w:abstractNumId w:val="10"/>
  </w:num>
  <w:num w:numId="3">
    <w:abstractNumId w:val="4"/>
  </w:num>
  <w:num w:numId="4">
    <w:abstractNumId w:val="5"/>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6"/>
  </w:num>
  <w:num w:numId="9">
    <w:abstractNumId w:val="3"/>
  </w:num>
  <w:num w:numId="10">
    <w:abstractNumId w:val="9"/>
  </w:num>
  <w:num w:numId="11">
    <w:abstractNumId w:val="8"/>
  </w:num>
  <w:num w:numId="12">
    <w:abstractNumId w:val="7"/>
  </w:num>
  <w:num w:numId="13">
    <w:abstractNumId w:val="1"/>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1BD"/>
    <w:rsid w:val="00004982"/>
    <w:rsid w:val="000409D2"/>
    <w:rsid w:val="00043341"/>
    <w:rsid w:val="000556CA"/>
    <w:rsid w:val="00061C81"/>
    <w:rsid w:val="00066497"/>
    <w:rsid w:val="00084CC9"/>
    <w:rsid w:val="00094FB7"/>
    <w:rsid w:val="000A0739"/>
    <w:rsid w:val="000D0FD4"/>
    <w:rsid w:val="000E0136"/>
    <w:rsid w:val="000E3096"/>
    <w:rsid w:val="000F03D1"/>
    <w:rsid w:val="000F14CD"/>
    <w:rsid w:val="001028D1"/>
    <w:rsid w:val="00114FBA"/>
    <w:rsid w:val="00116544"/>
    <w:rsid w:val="001231AB"/>
    <w:rsid w:val="00145E03"/>
    <w:rsid w:val="00153236"/>
    <w:rsid w:val="001675E2"/>
    <w:rsid w:val="00194DE0"/>
    <w:rsid w:val="001B2AD7"/>
    <w:rsid w:val="001B3203"/>
    <w:rsid w:val="001B3C03"/>
    <w:rsid w:val="001E0799"/>
    <w:rsid w:val="0021783E"/>
    <w:rsid w:val="002464B7"/>
    <w:rsid w:val="002548E1"/>
    <w:rsid w:val="00263F6F"/>
    <w:rsid w:val="00266494"/>
    <w:rsid w:val="00270C2F"/>
    <w:rsid w:val="00284EA2"/>
    <w:rsid w:val="002904E5"/>
    <w:rsid w:val="002A1C85"/>
    <w:rsid w:val="002A544A"/>
    <w:rsid w:val="002B7676"/>
    <w:rsid w:val="002C484F"/>
    <w:rsid w:val="002E2A49"/>
    <w:rsid w:val="002E4663"/>
    <w:rsid w:val="002F2C07"/>
    <w:rsid w:val="003056AA"/>
    <w:rsid w:val="003C0279"/>
    <w:rsid w:val="003E36C5"/>
    <w:rsid w:val="003F2B3D"/>
    <w:rsid w:val="00400415"/>
    <w:rsid w:val="00405B80"/>
    <w:rsid w:val="00411146"/>
    <w:rsid w:val="004558E0"/>
    <w:rsid w:val="00467AB7"/>
    <w:rsid w:val="00474A24"/>
    <w:rsid w:val="004759D5"/>
    <w:rsid w:val="004814DA"/>
    <w:rsid w:val="00493557"/>
    <w:rsid w:val="00494FBB"/>
    <w:rsid w:val="004F2794"/>
    <w:rsid w:val="00503BA7"/>
    <w:rsid w:val="005051B6"/>
    <w:rsid w:val="00524B11"/>
    <w:rsid w:val="00524F21"/>
    <w:rsid w:val="005355D5"/>
    <w:rsid w:val="00560C39"/>
    <w:rsid w:val="00580059"/>
    <w:rsid w:val="005854D5"/>
    <w:rsid w:val="00594687"/>
    <w:rsid w:val="005C74F1"/>
    <w:rsid w:val="005D55AC"/>
    <w:rsid w:val="005F3227"/>
    <w:rsid w:val="005F5C8D"/>
    <w:rsid w:val="006022ED"/>
    <w:rsid w:val="00620B1A"/>
    <w:rsid w:val="00640454"/>
    <w:rsid w:val="00643DAA"/>
    <w:rsid w:val="00677A03"/>
    <w:rsid w:val="0069359F"/>
    <w:rsid w:val="006B0348"/>
    <w:rsid w:val="006B15F1"/>
    <w:rsid w:val="006C2AFF"/>
    <w:rsid w:val="006E0ED0"/>
    <w:rsid w:val="006F4286"/>
    <w:rsid w:val="00702E15"/>
    <w:rsid w:val="00754BE9"/>
    <w:rsid w:val="00763C65"/>
    <w:rsid w:val="00787417"/>
    <w:rsid w:val="007A5E1D"/>
    <w:rsid w:val="007C2622"/>
    <w:rsid w:val="007D6272"/>
    <w:rsid w:val="00806B07"/>
    <w:rsid w:val="008101B1"/>
    <w:rsid w:val="00812FAB"/>
    <w:rsid w:val="0081300C"/>
    <w:rsid w:val="008213A9"/>
    <w:rsid w:val="00825602"/>
    <w:rsid w:val="008327A0"/>
    <w:rsid w:val="008346C3"/>
    <w:rsid w:val="008459AF"/>
    <w:rsid w:val="00851711"/>
    <w:rsid w:val="00861A1C"/>
    <w:rsid w:val="008674B3"/>
    <w:rsid w:val="00883648"/>
    <w:rsid w:val="00885980"/>
    <w:rsid w:val="0088610F"/>
    <w:rsid w:val="00891B96"/>
    <w:rsid w:val="00895353"/>
    <w:rsid w:val="008A659C"/>
    <w:rsid w:val="008B02BF"/>
    <w:rsid w:val="008B1D85"/>
    <w:rsid w:val="008C01EA"/>
    <w:rsid w:val="008C1984"/>
    <w:rsid w:val="008C7DD7"/>
    <w:rsid w:val="008D20E2"/>
    <w:rsid w:val="00942BF0"/>
    <w:rsid w:val="00945733"/>
    <w:rsid w:val="009C2D91"/>
    <w:rsid w:val="009C7C57"/>
    <w:rsid w:val="009D2092"/>
    <w:rsid w:val="009D2AFD"/>
    <w:rsid w:val="009D61FB"/>
    <w:rsid w:val="009D7268"/>
    <w:rsid w:val="009E1170"/>
    <w:rsid w:val="009F521C"/>
    <w:rsid w:val="00A078AA"/>
    <w:rsid w:val="00A12402"/>
    <w:rsid w:val="00A44C79"/>
    <w:rsid w:val="00A81D70"/>
    <w:rsid w:val="00A86E4F"/>
    <w:rsid w:val="00A92AE3"/>
    <w:rsid w:val="00A9492A"/>
    <w:rsid w:val="00A94DFD"/>
    <w:rsid w:val="00AB2246"/>
    <w:rsid w:val="00AC3794"/>
    <w:rsid w:val="00AC654F"/>
    <w:rsid w:val="00AD13BE"/>
    <w:rsid w:val="00AD6C1C"/>
    <w:rsid w:val="00AE03ED"/>
    <w:rsid w:val="00AE335E"/>
    <w:rsid w:val="00B23666"/>
    <w:rsid w:val="00B34A56"/>
    <w:rsid w:val="00B503F3"/>
    <w:rsid w:val="00B51746"/>
    <w:rsid w:val="00B52B19"/>
    <w:rsid w:val="00B6758A"/>
    <w:rsid w:val="00B678A8"/>
    <w:rsid w:val="00B828E2"/>
    <w:rsid w:val="00B85E9B"/>
    <w:rsid w:val="00B96DC8"/>
    <w:rsid w:val="00BA5771"/>
    <w:rsid w:val="00BB5ADD"/>
    <w:rsid w:val="00BD5438"/>
    <w:rsid w:val="00BE0072"/>
    <w:rsid w:val="00BF6D15"/>
    <w:rsid w:val="00C04ED6"/>
    <w:rsid w:val="00C12316"/>
    <w:rsid w:val="00C12B04"/>
    <w:rsid w:val="00C1404D"/>
    <w:rsid w:val="00C201BD"/>
    <w:rsid w:val="00C36B38"/>
    <w:rsid w:val="00C603A9"/>
    <w:rsid w:val="00CA7F76"/>
    <w:rsid w:val="00CB0E1F"/>
    <w:rsid w:val="00CC2A1B"/>
    <w:rsid w:val="00CC6149"/>
    <w:rsid w:val="00CE610E"/>
    <w:rsid w:val="00CF1FE6"/>
    <w:rsid w:val="00CF6719"/>
    <w:rsid w:val="00CF72D0"/>
    <w:rsid w:val="00D40EE6"/>
    <w:rsid w:val="00D4438D"/>
    <w:rsid w:val="00D4506A"/>
    <w:rsid w:val="00D4613E"/>
    <w:rsid w:val="00D47036"/>
    <w:rsid w:val="00D53260"/>
    <w:rsid w:val="00D64F2D"/>
    <w:rsid w:val="00DB3597"/>
    <w:rsid w:val="00DC5C1D"/>
    <w:rsid w:val="00DD6C55"/>
    <w:rsid w:val="00E04764"/>
    <w:rsid w:val="00E105F7"/>
    <w:rsid w:val="00E3534E"/>
    <w:rsid w:val="00E628C5"/>
    <w:rsid w:val="00E814F5"/>
    <w:rsid w:val="00E91EA1"/>
    <w:rsid w:val="00E977E2"/>
    <w:rsid w:val="00EA20F3"/>
    <w:rsid w:val="00EB67B0"/>
    <w:rsid w:val="00EC0CDE"/>
    <w:rsid w:val="00EC20EE"/>
    <w:rsid w:val="00ED1D2F"/>
    <w:rsid w:val="00EE39BA"/>
    <w:rsid w:val="00F019AA"/>
    <w:rsid w:val="00F37F83"/>
    <w:rsid w:val="00F4190E"/>
    <w:rsid w:val="00F50853"/>
    <w:rsid w:val="00F52B1A"/>
    <w:rsid w:val="00F73676"/>
    <w:rsid w:val="00F93CE8"/>
    <w:rsid w:val="00FA1D4F"/>
    <w:rsid w:val="00FB2AB7"/>
    <w:rsid w:val="00FB6682"/>
    <w:rsid w:val="00FC3785"/>
    <w:rsid w:val="00FD27AE"/>
    <w:rsid w:val="00FD6496"/>
    <w:rsid w:val="00FE01E5"/>
    <w:rsid w:val="00FF56B7"/>
    <w:rsid w:val="09D68D78"/>
    <w:rsid w:val="12F104C4"/>
    <w:rsid w:val="16F2A5F4"/>
    <w:rsid w:val="1A0AE6C4"/>
    <w:rsid w:val="1DB24343"/>
    <w:rsid w:val="1EFCB088"/>
    <w:rsid w:val="394CCE21"/>
    <w:rsid w:val="39990A98"/>
    <w:rsid w:val="3CBEC66F"/>
    <w:rsid w:val="3DEBED04"/>
    <w:rsid w:val="45C8FB71"/>
    <w:rsid w:val="4D094D5A"/>
    <w:rsid w:val="5E0485DD"/>
    <w:rsid w:val="695090AF"/>
    <w:rsid w:val="6987C4D6"/>
    <w:rsid w:val="705B9E6F"/>
    <w:rsid w:val="72BEE783"/>
    <w:rsid w:val="765AF52F"/>
    <w:rsid w:val="77DFDD68"/>
    <w:rsid w:val="7DDF763A"/>
    <w:rsid w:val="7E117DE6"/>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62325F"/>
  <w15:docId w15:val="{903587C8-7521-4E67-A49A-5CC72ECB5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A5147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basedOn w:val="Normal"/>
    <w:uiPriority w:val="34"/>
    <w:qFormat/>
    <w:rsid w:val="006B5A24"/>
    <w:pPr>
      <w:ind w:left="720"/>
      <w:contextualSpacing/>
    </w:pPr>
  </w:style>
  <w:style w:type="character" w:customStyle="1" w:styleId="MenoPendente1">
    <w:name w:val="Menção Pendente1"/>
    <w:basedOn w:val="Fontepargpadro"/>
    <w:uiPriority w:val="99"/>
    <w:semiHidden/>
    <w:unhideWhenUsed/>
    <w:rsid w:val="005B7978"/>
    <w:rPr>
      <w:color w:val="605E5C"/>
      <w:shd w:val="clear" w:color="auto" w:fill="E1DFDD"/>
    </w:rPr>
  </w:style>
  <w:style w:type="paragraph" w:customStyle="1" w:styleId="dou-paragraph">
    <w:name w:val="dou-paragraph"/>
    <w:basedOn w:val="Normal"/>
    <w:rsid w:val="00C90A36"/>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rio">
    <w:name w:val="annotation reference"/>
    <w:basedOn w:val="Fontepargpadro"/>
    <w:uiPriority w:val="99"/>
    <w:semiHidden/>
    <w:unhideWhenUsed/>
    <w:rsid w:val="00674563"/>
    <w:rPr>
      <w:sz w:val="16"/>
      <w:szCs w:val="16"/>
    </w:rPr>
  </w:style>
  <w:style w:type="paragraph" w:styleId="Textodecomentrio">
    <w:name w:val="annotation text"/>
    <w:basedOn w:val="Normal"/>
    <w:link w:val="TextodecomentrioChar"/>
    <w:uiPriority w:val="99"/>
    <w:unhideWhenUsed/>
    <w:rsid w:val="00674563"/>
    <w:pPr>
      <w:spacing w:line="240" w:lineRule="auto"/>
    </w:pPr>
    <w:rPr>
      <w:sz w:val="20"/>
      <w:szCs w:val="20"/>
    </w:rPr>
  </w:style>
  <w:style w:type="character" w:customStyle="1" w:styleId="TextodecomentrioChar">
    <w:name w:val="Texto de comentário Char"/>
    <w:basedOn w:val="Fontepargpadro"/>
    <w:link w:val="Textodecomentrio"/>
    <w:uiPriority w:val="99"/>
    <w:rsid w:val="00674563"/>
    <w:rPr>
      <w:sz w:val="20"/>
      <w:szCs w:val="20"/>
    </w:rPr>
  </w:style>
  <w:style w:type="paragraph" w:styleId="Assuntodocomentrio">
    <w:name w:val="annotation subject"/>
    <w:basedOn w:val="Textodecomentrio"/>
    <w:next w:val="Textodecomentrio"/>
    <w:link w:val="AssuntodocomentrioChar"/>
    <w:uiPriority w:val="99"/>
    <w:semiHidden/>
    <w:unhideWhenUsed/>
    <w:rsid w:val="00674563"/>
    <w:rPr>
      <w:b/>
      <w:bCs/>
    </w:rPr>
  </w:style>
  <w:style w:type="character" w:customStyle="1" w:styleId="AssuntodocomentrioChar">
    <w:name w:val="Assunto do comentário Char"/>
    <w:basedOn w:val="TextodecomentrioChar"/>
    <w:link w:val="Assuntodocomentrio"/>
    <w:uiPriority w:val="99"/>
    <w:semiHidden/>
    <w:rsid w:val="00674563"/>
    <w:rPr>
      <w:b/>
      <w:bCs/>
      <w:sz w:val="20"/>
      <w:szCs w:val="20"/>
    </w:rPr>
  </w:style>
  <w:style w:type="character" w:customStyle="1" w:styleId="Meno1">
    <w:name w:val="Menção1"/>
    <w:basedOn w:val="Fontepargpadro"/>
    <w:uiPriority w:val="99"/>
    <w:unhideWhenUsed/>
    <w:rPr>
      <w:color w:val="2B579A"/>
      <w:shd w:val="clear" w:color="auto" w:fill="E6E6E6"/>
    </w:rPr>
  </w:style>
  <w:style w:type="character" w:customStyle="1" w:styleId="Ttulo1Char">
    <w:name w:val="Título 1 Char"/>
    <w:basedOn w:val="Fontepargpadro"/>
    <w:link w:val="Ttulo1"/>
    <w:uiPriority w:val="9"/>
    <w:rsid w:val="00A5147C"/>
    <w:rPr>
      <w:rFonts w:asciiTheme="majorHAnsi" w:eastAsiaTheme="majorEastAsia" w:hAnsiTheme="majorHAnsi" w:cstheme="majorBidi"/>
      <w:color w:val="2F5496" w:themeColor="accent1" w:themeShade="BF"/>
      <w:sz w:val="32"/>
      <w:szCs w:val="32"/>
    </w:rPr>
  </w:style>
  <w:style w:type="paragraph" w:styleId="CabealhodoSumrio">
    <w:name w:val="TOC Heading"/>
    <w:basedOn w:val="Ttulo1"/>
    <w:next w:val="Normal"/>
    <w:uiPriority w:val="39"/>
    <w:unhideWhenUsed/>
    <w:qFormat/>
    <w:rsid w:val="00A5147C"/>
    <w:pPr>
      <w:outlineLvl w:val="9"/>
    </w:pPr>
  </w:style>
  <w:style w:type="paragraph" w:styleId="Reviso">
    <w:name w:val="Revision"/>
    <w:hidden/>
    <w:uiPriority w:val="99"/>
    <w:semiHidden/>
    <w:rsid w:val="003C78FA"/>
    <w:pPr>
      <w:spacing w:after="0" w:line="240" w:lineRule="auto"/>
    </w:pPr>
  </w:style>
  <w:style w:type="paragraph" w:styleId="Corpodetexto">
    <w:name w:val="Body Text"/>
    <w:basedOn w:val="Normal"/>
    <w:link w:val="CorpodetextoChar"/>
    <w:uiPriority w:val="99"/>
    <w:semiHidden/>
    <w:unhideWhenUsed/>
    <w:rsid w:val="00EC47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semiHidden/>
    <w:rsid w:val="00EC4765"/>
    <w:rPr>
      <w:rFonts w:ascii="Times New Roman" w:eastAsia="Times New Roman" w:hAnsi="Times New Roman" w:cs="Times New Roman"/>
      <w:kern w:val="0"/>
      <w:sz w:val="24"/>
      <w:szCs w:val="24"/>
      <w:lang w:eastAsia="pt-BR"/>
    </w:rPr>
  </w:style>
  <w:style w:type="paragraph" w:customStyle="1" w:styleId="paragraph">
    <w:name w:val="paragraph"/>
    <w:basedOn w:val="Normal"/>
    <w:rsid w:val="00FE1D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FE1D03"/>
  </w:style>
  <w:style w:type="character" w:customStyle="1" w:styleId="eop">
    <w:name w:val="eop"/>
    <w:basedOn w:val="Fontepargpadro"/>
    <w:rsid w:val="00FE1D03"/>
  </w:style>
  <w:style w:type="table" w:styleId="Tabelacomgrade">
    <w:name w:val="Table Grid"/>
    <w:basedOn w:val="Tabelanormal"/>
    <w:uiPriority w:val="39"/>
    <w:rsid w:val="003F47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0"/>
    <w:pPr>
      <w:spacing w:after="0" w:line="240" w:lineRule="auto"/>
    </w:pPr>
    <w:tblPr>
      <w:tblStyleRowBandSize w:val="1"/>
      <w:tblStyleColBandSize w:val="1"/>
      <w:tblCellMar>
        <w:left w:w="108" w:type="dxa"/>
        <w:right w:w="108" w:type="dxa"/>
      </w:tblCellMar>
    </w:tblPr>
  </w:style>
  <w:style w:type="table" w:customStyle="1" w:styleId="a0">
    <w:basedOn w:val="NormalTable0"/>
    <w:pPr>
      <w:spacing w:after="0" w:line="240" w:lineRule="auto"/>
    </w:pPr>
    <w:tblPr>
      <w:tblStyleRowBandSize w:val="1"/>
      <w:tblStyleColBandSize w:val="1"/>
      <w:tblCellMar>
        <w:left w:w="108" w:type="dxa"/>
        <w:right w:w="108" w:type="dxa"/>
      </w:tblCellMar>
    </w:tblPr>
  </w:style>
  <w:style w:type="table" w:customStyle="1" w:styleId="a1">
    <w:basedOn w:val="NormalTable0"/>
    <w:pPr>
      <w:spacing w:after="0" w:line="240" w:lineRule="auto"/>
    </w:pPr>
    <w:tblPr>
      <w:tblStyleRowBandSize w:val="1"/>
      <w:tblStyleColBandSize w:val="1"/>
      <w:tblCellMar>
        <w:left w:w="108" w:type="dxa"/>
        <w:right w:w="108" w:type="dxa"/>
      </w:tblCellMar>
    </w:tblPr>
  </w:style>
  <w:style w:type="table" w:customStyle="1" w:styleId="a2">
    <w:basedOn w:val="NormalTable0"/>
    <w:pPr>
      <w:spacing w:after="0" w:line="240" w:lineRule="auto"/>
    </w:pPr>
    <w:tblPr>
      <w:tblStyleRowBandSize w:val="1"/>
      <w:tblStyleColBandSize w:val="1"/>
      <w:tblCellMar>
        <w:left w:w="108" w:type="dxa"/>
        <w:right w:w="108" w:type="dxa"/>
      </w:tblCellMar>
    </w:tblPr>
  </w:style>
  <w:style w:type="table" w:customStyle="1" w:styleId="a3">
    <w:basedOn w:val="NormalTable0"/>
    <w:pPr>
      <w:spacing w:after="0" w:line="240" w:lineRule="auto"/>
    </w:pPr>
    <w:tblPr>
      <w:tblStyleRowBandSize w:val="1"/>
      <w:tblStyleColBandSize w:val="1"/>
      <w:tblCellMar>
        <w:left w:w="108" w:type="dxa"/>
        <w:right w:w="108" w:type="dxa"/>
      </w:tblCellMar>
    </w:tblPr>
  </w:style>
  <w:style w:type="table" w:customStyle="1" w:styleId="a4">
    <w:basedOn w:val="NormalTable0"/>
    <w:pPr>
      <w:spacing w:after="0" w:line="240" w:lineRule="auto"/>
    </w:pPr>
    <w:tblPr>
      <w:tblStyleRowBandSize w:val="1"/>
      <w:tblStyleColBandSize w:val="1"/>
      <w:tblCellMar>
        <w:left w:w="108" w:type="dxa"/>
        <w:right w:w="108" w:type="dxa"/>
      </w:tblCellMar>
    </w:tblPr>
  </w:style>
  <w:style w:type="table" w:customStyle="1" w:styleId="a5">
    <w:basedOn w:val="NormalTable0"/>
    <w:pPr>
      <w:spacing w:after="0" w:line="240" w:lineRule="auto"/>
    </w:pPr>
    <w:tblPr>
      <w:tblStyleRowBandSize w:val="1"/>
      <w:tblStyleColBandSize w:val="1"/>
      <w:tblCellMar>
        <w:left w:w="108" w:type="dxa"/>
        <w:right w:w="108" w:type="dxa"/>
      </w:tblCellMar>
    </w:tblPr>
  </w:style>
  <w:style w:type="table" w:customStyle="1" w:styleId="a6">
    <w:basedOn w:val="NormalTable0"/>
    <w:pPr>
      <w:spacing w:after="0" w:line="240" w:lineRule="auto"/>
    </w:pPr>
    <w:tblPr>
      <w:tblStyleRowBandSize w:val="1"/>
      <w:tblStyleColBandSize w:val="1"/>
      <w:tblCellMar>
        <w:left w:w="108" w:type="dxa"/>
        <w:right w:w="108" w:type="dxa"/>
      </w:tblCellMar>
    </w:tblPr>
  </w:style>
  <w:style w:type="table" w:customStyle="1" w:styleId="a7">
    <w:basedOn w:val="NormalTable0"/>
    <w:pPr>
      <w:spacing w:after="0" w:line="240" w:lineRule="auto"/>
    </w:pPr>
    <w:tblPr>
      <w:tblStyleRowBandSize w:val="1"/>
      <w:tblStyleColBandSize w:val="1"/>
      <w:tblCellMar>
        <w:left w:w="108" w:type="dxa"/>
        <w:right w:w="108" w:type="dxa"/>
      </w:tblCellMar>
    </w:tblPr>
  </w:style>
  <w:style w:type="table" w:customStyle="1" w:styleId="a8">
    <w:basedOn w:val="NormalTable0"/>
    <w:pPr>
      <w:spacing w:after="0" w:line="240" w:lineRule="auto"/>
    </w:pPr>
    <w:tblPr>
      <w:tblStyleRowBandSize w:val="1"/>
      <w:tblStyleColBandSize w:val="1"/>
      <w:tblCellMar>
        <w:left w:w="108" w:type="dxa"/>
        <w:right w:w="108" w:type="dxa"/>
      </w:tblCellMar>
    </w:tblPr>
  </w:style>
  <w:style w:type="table" w:customStyle="1" w:styleId="a9">
    <w:basedOn w:val="NormalTable0"/>
    <w:pPr>
      <w:spacing w:after="0" w:line="240" w:lineRule="auto"/>
    </w:pPr>
    <w:tblPr>
      <w:tblStyleRowBandSize w:val="1"/>
      <w:tblStyleColBandSize w:val="1"/>
      <w:tblCellMar>
        <w:left w:w="108" w:type="dxa"/>
        <w:right w:w="108" w:type="dxa"/>
      </w:tblCellMar>
    </w:tblPr>
  </w:style>
  <w:style w:type="table" w:customStyle="1" w:styleId="aa">
    <w:basedOn w:val="NormalTable0"/>
    <w:pPr>
      <w:spacing w:after="0" w:line="240" w:lineRule="auto"/>
    </w:pPr>
    <w:tblPr>
      <w:tblStyleRowBandSize w:val="1"/>
      <w:tblStyleColBandSize w:val="1"/>
      <w:tblCellMar>
        <w:left w:w="108" w:type="dxa"/>
        <w:right w:w="108" w:type="dxa"/>
      </w:tblCellMar>
    </w:tblPr>
  </w:style>
  <w:style w:type="table" w:customStyle="1" w:styleId="ab">
    <w:basedOn w:val="NormalTable0"/>
    <w:pPr>
      <w:spacing w:after="0" w:line="240" w:lineRule="auto"/>
    </w:pPr>
    <w:tblPr>
      <w:tblStyleRowBandSize w:val="1"/>
      <w:tblStyleColBandSize w:val="1"/>
      <w:tblCellMar>
        <w:left w:w="108" w:type="dxa"/>
        <w:right w:w="108" w:type="dxa"/>
      </w:tblCellMar>
    </w:tblPr>
  </w:style>
  <w:style w:type="table" w:customStyle="1" w:styleId="ac">
    <w:basedOn w:val="NormalTable0"/>
    <w:pPr>
      <w:spacing w:after="0" w:line="240" w:lineRule="auto"/>
    </w:pPr>
    <w:tblPr>
      <w:tblStyleRowBandSize w:val="1"/>
      <w:tblStyleColBandSize w:val="1"/>
      <w:tblCellMar>
        <w:left w:w="108" w:type="dxa"/>
        <w:right w:w="108" w:type="dxa"/>
      </w:tblCellMar>
    </w:tblPr>
  </w:style>
  <w:style w:type="table" w:customStyle="1" w:styleId="ad">
    <w:basedOn w:val="NormalTable0"/>
    <w:pPr>
      <w:spacing w:after="0" w:line="240" w:lineRule="auto"/>
    </w:pPr>
    <w:tblPr>
      <w:tblStyleRowBandSize w:val="1"/>
      <w:tblStyleColBandSize w:val="1"/>
      <w:tblCellMar>
        <w:left w:w="108" w:type="dxa"/>
        <w:right w:w="108" w:type="dxa"/>
      </w:tblCellMar>
    </w:tblPr>
  </w:style>
  <w:style w:type="paragraph" w:styleId="Cabealho">
    <w:name w:val="header"/>
    <w:basedOn w:val="Normal"/>
    <w:link w:val="CabealhoChar"/>
    <w:uiPriority w:val="99"/>
    <w:unhideWhenUsed/>
    <w:rsid w:val="008B02B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02BF"/>
  </w:style>
  <w:style w:type="paragraph" w:styleId="Rodap">
    <w:name w:val="footer"/>
    <w:basedOn w:val="Normal"/>
    <w:link w:val="RodapChar"/>
    <w:uiPriority w:val="99"/>
    <w:unhideWhenUsed/>
    <w:rsid w:val="008B02BF"/>
    <w:pPr>
      <w:tabs>
        <w:tab w:val="center" w:pos="4252"/>
        <w:tab w:val="right" w:pos="8504"/>
      </w:tabs>
      <w:spacing w:after="0" w:line="240" w:lineRule="auto"/>
    </w:pPr>
  </w:style>
  <w:style w:type="character" w:customStyle="1" w:styleId="RodapChar">
    <w:name w:val="Rodapé Char"/>
    <w:basedOn w:val="Fontepargpadro"/>
    <w:link w:val="Rodap"/>
    <w:uiPriority w:val="99"/>
    <w:rsid w:val="008B02BF"/>
  </w:style>
  <w:style w:type="paragraph" w:styleId="Sumrio1">
    <w:name w:val="toc 1"/>
    <w:basedOn w:val="Normal"/>
    <w:next w:val="Normal"/>
    <w:autoRedefine/>
    <w:uiPriority w:val="39"/>
    <w:unhideWhenUsed/>
    <w:rsid w:val="00EC20EE"/>
    <w:pPr>
      <w:spacing w:after="100"/>
    </w:pPr>
  </w:style>
  <w:style w:type="paragraph" w:customStyle="1" w:styleId="Default">
    <w:name w:val="Default"/>
    <w:rsid w:val="002E4663"/>
    <w:pPr>
      <w:autoSpaceDE w:val="0"/>
      <w:autoSpaceDN w:val="0"/>
      <w:adjustRightInd w:val="0"/>
      <w:spacing w:after="0" w:line="240" w:lineRule="auto"/>
    </w:pPr>
    <w:rPr>
      <w:color w:val="000000"/>
      <w:sz w:val="24"/>
      <w:szCs w:val="24"/>
    </w:rPr>
  </w:style>
  <w:style w:type="paragraph" w:styleId="SemEspaamento">
    <w:name w:val="No Spacing"/>
    <w:uiPriority w:val="1"/>
    <w:qFormat/>
    <w:rsid w:val="00D40EE6"/>
    <w:pPr>
      <w:spacing w:after="0" w:line="240" w:lineRule="auto"/>
    </w:pPr>
    <w:rPr>
      <w:rFonts w:ascii="Arial" w:eastAsia="Arial" w:hAnsi="Arial" w:cs="Arial"/>
    </w:rPr>
  </w:style>
  <w:style w:type="character" w:styleId="HiperlinkVisitado">
    <w:name w:val="FollowedHyperlink"/>
    <w:basedOn w:val="Fontepargpadro"/>
    <w:uiPriority w:val="99"/>
    <w:semiHidden/>
    <w:unhideWhenUsed/>
    <w:rsid w:val="0059468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0095049">
      <w:bodyDiv w:val="1"/>
      <w:marLeft w:val="0"/>
      <w:marRight w:val="0"/>
      <w:marTop w:val="0"/>
      <w:marBottom w:val="0"/>
      <w:divBdr>
        <w:top w:val="none" w:sz="0" w:space="0" w:color="auto"/>
        <w:left w:val="none" w:sz="0" w:space="0" w:color="auto"/>
        <w:bottom w:val="none" w:sz="0" w:space="0" w:color="auto"/>
        <w:right w:val="none" w:sz="0" w:space="0" w:color="auto"/>
      </w:divBdr>
    </w:div>
    <w:div w:id="287513925">
      <w:bodyDiv w:val="1"/>
      <w:marLeft w:val="0"/>
      <w:marRight w:val="0"/>
      <w:marTop w:val="0"/>
      <w:marBottom w:val="0"/>
      <w:divBdr>
        <w:top w:val="none" w:sz="0" w:space="0" w:color="auto"/>
        <w:left w:val="none" w:sz="0" w:space="0" w:color="auto"/>
        <w:bottom w:val="none" w:sz="0" w:space="0" w:color="auto"/>
        <w:right w:val="none" w:sz="0" w:space="0" w:color="auto"/>
      </w:divBdr>
    </w:div>
    <w:div w:id="598607139">
      <w:bodyDiv w:val="1"/>
      <w:marLeft w:val="0"/>
      <w:marRight w:val="0"/>
      <w:marTop w:val="0"/>
      <w:marBottom w:val="0"/>
      <w:divBdr>
        <w:top w:val="none" w:sz="0" w:space="0" w:color="auto"/>
        <w:left w:val="none" w:sz="0" w:space="0" w:color="auto"/>
        <w:bottom w:val="none" w:sz="0" w:space="0" w:color="auto"/>
        <w:right w:val="none" w:sz="0" w:space="0" w:color="auto"/>
      </w:divBdr>
    </w:div>
    <w:div w:id="1657144853">
      <w:bodyDiv w:val="1"/>
      <w:marLeft w:val="0"/>
      <w:marRight w:val="0"/>
      <w:marTop w:val="0"/>
      <w:marBottom w:val="0"/>
      <w:divBdr>
        <w:top w:val="none" w:sz="0" w:space="0" w:color="auto"/>
        <w:left w:val="none" w:sz="0" w:space="0" w:color="auto"/>
        <w:bottom w:val="none" w:sz="0" w:space="0" w:color="auto"/>
        <w:right w:val="none" w:sz="0" w:space="0" w:color="auto"/>
      </w:divBdr>
    </w:div>
    <w:div w:id="1957298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6E29AE93B1FB54C94FFB0AC0F256343" ma:contentTypeVersion="14" ma:contentTypeDescription="Create a new document." ma:contentTypeScope="" ma:versionID="3487eafe80e2c4116e5aa923501ecef0">
  <xsd:schema xmlns:xsd="http://www.w3.org/2001/XMLSchema" xmlns:xs="http://www.w3.org/2001/XMLSchema" xmlns:p="http://schemas.microsoft.com/office/2006/metadata/properties" xmlns:ns2="40aec6fa-c5f6-4feb-b97b-386f8ea38896" xmlns:ns3="beaeb88b-723b-40d5-8941-7d7503f1ce4a" targetNamespace="http://schemas.microsoft.com/office/2006/metadata/properties" ma:root="true" ma:fieldsID="791c6999be33df5930a3e1bf3462d89a" ns2:_="" ns3:_="">
    <xsd:import namespace="40aec6fa-c5f6-4feb-b97b-386f8ea38896"/>
    <xsd:import namespace="beaeb88b-723b-40d5-8941-7d7503f1ce4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aec6fa-c5f6-4feb-b97b-386f8ea38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02630f34-378a-4da1-9a9f-beef9184492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aeb88b-723b-40d5-8941-7d7503f1ce4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2b558856-12f4-48e1-87fc-0f5a9f6d8187}" ma:internalName="TaxCatchAll" ma:showField="CatchAllData" ma:web="beaeb88b-723b-40d5-8941-7d7503f1ce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0aec6fa-c5f6-4feb-b97b-386f8ea38896">
      <Terms xmlns="http://schemas.microsoft.com/office/infopath/2007/PartnerControls"/>
    </lcf76f155ced4ddcb4097134ff3c332f>
    <TaxCatchAll xmlns="beaeb88b-723b-40d5-8941-7d7503f1ce4a"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YspXHeSe+rbWOnUgQUTEOf6kYQ==">CgMxLjAyCGguZ2pkZ3hzOABqJgoUc3VnZ2VzdC5obWd1Z2h3dGY4NXcSDk5haXJhIFNpbHZlaXJhciExbXg4a1BuLTh3OW1EeWtJWkVoMWpZV3NHU3ktVUllYkc=</go:docsCustomData>
</go:gDocsCustomXmlDataStorage>
</file>

<file path=customXml/itemProps1.xml><?xml version="1.0" encoding="utf-8"?>
<ds:datastoreItem xmlns:ds="http://schemas.openxmlformats.org/officeDocument/2006/customXml" ds:itemID="{EBD083B1-D2B6-4040-AA27-A4BA2E041B3A}">
  <ds:schemaRefs>
    <ds:schemaRef ds:uri="http://schemas.openxmlformats.org/officeDocument/2006/bibliography"/>
  </ds:schemaRefs>
</ds:datastoreItem>
</file>

<file path=customXml/itemProps2.xml><?xml version="1.0" encoding="utf-8"?>
<ds:datastoreItem xmlns:ds="http://schemas.openxmlformats.org/officeDocument/2006/customXml" ds:itemID="{15EF90B5-28B7-4B15-BF00-CB360B8311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aec6fa-c5f6-4feb-b97b-386f8ea38896"/>
    <ds:schemaRef ds:uri="beaeb88b-723b-40d5-8941-7d7503f1ce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5FE33E-8902-4DE1-9E87-995AA10FA801}">
  <ds:schemaRefs>
    <ds:schemaRef ds:uri="http://schemas.microsoft.com/office/2006/metadata/properties"/>
    <ds:schemaRef ds:uri="http://schemas.microsoft.com/office/infopath/2007/PartnerControls"/>
    <ds:schemaRef ds:uri="40aec6fa-c5f6-4feb-b97b-386f8ea38896"/>
    <ds:schemaRef ds:uri="beaeb88b-723b-40d5-8941-7d7503f1ce4a"/>
  </ds:schemaRefs>
</ds:datastoreItem>
</file>

<file path=customXml/itemProps4.xml><?xml version="1.0" encoding="utf-8"?>
<ds:datastoreItem xmlns:ds="http://schemas.openxmlformats.org/officeDocument/2006/customXml" ds:itemID="{C2FB4CDD-41E5-4382-992A-60770992FB19}">
  <ds:schemaRefs>
    <ds:schemaRef ds:uri="http://schemas.microsoft.com/sharepoint/v3/contenttype/forms"/>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362</TotalTime>
  <Pages>1</Pages>
  <Words>2020</Words>
  <Characters>10914</Characters>
  <Application>Microsoft Office Word</Application>
  <DocSecurity>0</DocSecurity>
  <Lines>90</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Laís Alves Valente</dc:creator>
  <cp:lastModifiedBy>Cultura</cp:lastModifiedBy>
  <cp:revision>76</cp:revision>
  <cp:lastPrinted>2024-10-21T16:40:00Z</cp:lastPrinted>
  <dcterms:created xsi:type="dcterms:W3CDTF">2024-10-15T18:18:00Z</dcterms:created>
  <dcterms:modified xsi:type="dcterms:W3CDTF">2024-10-23T19:51:00Z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